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0A" w:rsidRDefault="009C048B" w:rsidP="0092462D">
      <w:pPr>
        <w:pStyle w:val="Titel"/>
        <w:rPr>
          <w:rFonts w:ascii="Arial" w:hAnsi="Arial" w:cs="Arial"/>
          <w:szCs w:val="34"/>
        </w:rPr>
      </w:pPr>
      <w:r>
        <w:rPr>
          <w:rFonts w:ascii="Arial" w:hAnsi="Arial" w:cs="Arial"/>
          <w:noProof/>
          <w:szCs w:val="34"/>
          <w:lang w:eastAsia="de-DE"/>
        </w:rPr>
        <mc:AlternateContent>
          <mc:Choice Requires="wpg">
            <w:drawing>
              <wp:anchor distT="0" distB="0" distL="114300" distR="114300" simplePos="0" relativeHeight="251659264" behindDoc="0" locked="0" layoutInCell="1" allowOverlap="1">
                <wp:simplePos x="0" y="0"/>
                <wp:positionH relativeFrom="column">
                  <wp:posOffset>4215010</wp:posOffset>
                </wp:positionH>
                <wp:positionV relativeFrom="paragraph">
                  <wp:posOffset>-1042630</wp:posOffset>
                </wp:positionV>
                <wp:extent cx="1594758" cy="635648"/>
                <wp:effectExtent l="0" t="0" r="5715" b="0"/>
                <wp:wrapNone/>
                <wp:docPr id="2" name="Grafik 1" descr="M:\Nina\Logos\dial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ina\Logos\dialekt.png"/>
                        <pic:cNvPicPr>
                          <a:picLocks noChangeAspect="1"/>
                        </pic:cNvPicPr>
                      </pic:nvPicPr>
                      <pic:blipFill>
                        <a:blip r:embed="rId8"/>
                        <a:stretch/>
                      </pic:blipFill>
                      <pic:spPr bwMode="auto">
                        <a:xfrm>
                          <a:off x="0" y="0"/>
                          <a:ext cx="1594758" cy="63564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331.89pt;mso-position-horizontal:absolute;mso-position-vertical-relative:text;margin-top:-82.10pt;mso-position-vertical:absolute;width:125.57pt;height:50.05pt;mso-wrap-distance-left:9.00pt;mso-wrap-distance-top:0.00pt;mso-wrap-distance-right:9.00pt;mso-wrap-distance-bottom:0.00pt;z-index:1;" stroked="f">
                <v:imagedata r:id="rId16" o:title=""/>
                <o:lock v:ext="edit" rotation="t"/>
              </v:shape>
            </w:pict>
          </mc:Fallback>
        </mc:AlternateContent>
      </w:r>
      <w:r w:rsidR="0092462D">
        <w:rPr>
          <w:rFonts w:ascii="Arial" w:hAnsi="Arial" w:cs="Arial"/>
          <w:szCs w:val="34"/>
        </w:rPr>
        <w:t xml:space="preserve">Deutsch: „Das Stück Heimat, das man immer </w:t>
      </w:r>
      <w:proofErr w:type="gramStart"/>
      <w:r w:rsidR="0092462D">
        <w:rPr>
          <w:rFonts w:ascii="Arial" w:hAnsi="Arial" w:cs="Arial"/>
          <w:szCs w:val="34"/>
        </w:rPr>
        <w:t>dabei hat</w:t>
      </w:r>
      <w:proofErr w:type="gramEnd"/>
      <w:r w:rsidR="0092462D">
        <w:rPr>
          <w:rFonts w:ascii="Arial" w:hAnsi="Arial" w:cs="Arial"/>
          <w:szCs w:val="34"/>
        </w:rPr>
        <w:t>“ – materialgestütztes Schreiben (Strukturwörter)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4"/>
      </w:tblGrid>
      <w:tr w:rsidR="0092462D" w:rsidTr="00A27BF4">
        <w:tc>
          <w:tcPr>
            <w:tcW w:w="2802" w:type="dxa"/>
          </w:tcPr>
          <w:p w:rsidR="0092462D" w:rsidRDefault="0092462D" w:rsidP="00A27BF4">
            <w:pPr>
              <w:jc w:val="both"/>
              <w:rPr>
                <w:rFonts w:ascii="Arial" w:hAnsi="Arial" w:cs="Arial"/>
                <w:sz w:val="22"/>
                <w:highlight w:val="yellow"/>
              </w:rPr>
            </w:pPr>
            <w:r>
              <w:rPr>
                <w:rFonts w:ascii="Arial" w:hAnsi="Arial" w:cs="Arial"/>
                <w:sz w:val="22"/>
              </w:rPr>
              <w:t>Schulart(en)</w:t>
            </w:r>
          </w:p>
        </w:tc>
        <w:tc>
          <w:tcPr>
            <w:tcW w:w="6484" w:type="dxa"/>
          </w:tcPr>
          <w:p w:rsidR="0092462D" w:rsidRDefault="0092462D" w:rsidP="00A27BF4">
            <w:pPr>
              <w:rPr>
                <w:rFonts w:ascii="Arial" w:hAnsi="Arial" w:cs="Arial"/>
                <w:sz w:val="22"/>
              </w:rPr>
            </w:pPr>
            <w:r>
              <w:rPr>
                <w:rFonts w:ascii="Arial" w:hAnsi="Arial" w:cs="Arial"/>
                <w:sz w:val="22"/>
              </w:rPr>
              <w:t>Realschule, Gymnasium, Fachoberschule, Berufsoberschule</w:t>
            </w:r>
          </w:p>
        </w:tc>
      </w:tr>
      <w:tr w:rsidR="0092462D" w:rsidTr="00A27BF4">
        <w:tc>
          <w:tcPr>
            <w:tcW w:w="2802" w:type="dxa"/>
          </w:tcPr>
          <w:p w:rsidR="0092462D" w:rsidRDefault="0092462D" w:rsidP="00A27BF4">
            <w:pPr>
              <w:jc w:val="both"/>
              <w:rPr>
                <w:rFonts w:ascii="Arial" w:hAnsi="Arial" w:cs="Arial"/>
                <w:sz w:val="22"/>
                <w:highlight w:val="yellow"/>
              </w:rPr>
            </w:pPr>
            <w:r>
              <w:rPr>
                <w:rFonts w:ascii="Arial" w:hAnsi="Arial" w:cs="Arial"/>
                <w:sz w:val="22"/>
              </w:rPr>
              <w:t>Jahrgangsstufe(n)</w:t>
            </w:r>
          </w:p>
        </w:tc>
        <w:tc>
          <w:tcPr>
            <w:tcW w:w="6484" w:type="dxa"/>
          </w:tcPr>
          <w:p w:rsidR="0092462D" w:rsidRDefault="0092462D" w:rsidP="00A27BF4">
            <w:pPr>
              <w:rPr>
                <w:rFonts w:ascii="Arial" w:hAnsi="Arial" w:cs="Arial"/>
                <w:sz w:val="22"/>
              </w:rPr>
            </w:pPr>
            <w:r>
              <w:rPr>
                <w:rFonts w:ascii="Arial" w:hAnsi="Arial" w:cs="Arial"/>
                <w:sz w:val="22"/>
              </w:rPr>
              <w:t>10. Klasse aufwärts</w:t>
            </w:r>
          </w:p>
        </w:tc>
      </w:tr>
      <w:tr w:rsidR="0092462D" w:rsidTr="00A27BF4">
        <w:tc>
          <w:tcPr>
            <w:tcW w:w="2802" w:type="dxa"/>
          </w:tcPr>
          <w:p w:rsidR="0092462D" w:rsidRDefault="0092462D" w:rsidP="00A27BF4">
            <w:pPr>
              <w:jc w:val="both"/>
              <w:rPr>
                <w:rFonts w:ascii="Arial" w:hAnsi="Arial" w:cs="Arial"/>
                <w:sz w:val="22"/>
                <w:highlight w:val="yellow"/>
              </w:rPr>
            </w:pPr>
            <w:r>
              <w:rPr>
                <w:rFonts w:ascii="Arial" w:hAnsi="Arial" w:cs="Arial"/>
                <w:sz w:val="22"/>
              </w:rPr>
              <w:t>Fach</w:t>
            </w:r>
          </w:p>
        </w:tc>
        <w:tc>
          <w:tcPr>
            <w:tcW w:w="6484" w:type="dxa"/>
          </w:tcPr>
          <w:p w:rsidR="0092462D" w:rsidRDefault="0092462D" w:rsidP="00A27BF4">
            <w:pPr>
              <w:rPr>
                <w:rFonts w:ascii="Arial" w:hAnsi="Arial" w:cs="Arial"/>
                <w:sz w:val="22"/>
              </w:rPr>
            </w:pPr>
            <w:r>
              <w:rPr>
                <w:rFonts w:ascii="Arial" w:hAnsi="Arial" w:cs="Arial"/>
                <w:sz w:val="22"/>
              </w:rPr>
              <w:t>Deutsch</w:t>
            </w:r>
          </w:p>
        </w:tc>
      </w:tr>
      <w:tr w:rsidR="0092462D" w:rsidTr="00A27BF4">
        <w:tc>
          <w:tcPr>
            <w:tcW w:w="2802" w:type="dxa"/>
          </w:tcPr>
          <w:p w:rsidR="0092462D" w:rsidRDefault="0092462D" w:rsidP="00A27BF4">
            <w:pPr>
              <w:jc w:val="both"/>
              <w:rPr>
                <w:rFonts w:ascii="Arial" w:hAnsi="Arial" w:cs="Arial"/>
                <w:sz w:val="22"/>
              </w:rPr>
            </w:pPr>
            <w:r>
              <w:rPr>
                <w:rFonts w:ascii="Arial" w:hAnsi="Arial" w:cs="Arial"/>
                <w:sz w:val="22"/>
              </w:rPr>
              <w:t>Thema</w:t>
            </w:r>
          </w:p>
        </w:tc>
        <w:tc>
          <w:tcPr>
            <w:tcW w:w="6484" w:type="dxa"/>
          </w:tcPr>
          <w:p w:rsidR="0092462D" w:rsidRDefault="0092462D" w:rsidP="00A27BF4">
            <w:pPr>
              <w:rPr>
                <w:rFonts w:ascii="Arial" w:hAnsi="Arial" w:cs="Arial"/>
                <w:sz w:val="22"/>
              </w:rPr>
            </w:pPr>
            <w:r>
              <w:rPr>
                <w:rFonts w:ascii="Arial" w:hAnsi="Arial" w:cs="Arial"/>
                <w:sz w:val="22"/>
              </w:rPr>
              <w:t xml:space="preserve">Kernaussagen eines journalistischen Textes zum Thema Dialekt herausarbeiten, materialgestütztes Schreiben unter Zuhilfenahme von Strukturwörtern, </w:t>
            </w:r>
          </w:p>
          <w:p w:rsidR="0092462D" w:rsidRDefault="0092462D" w:rsidP="00A27BF4">
            <w:pPr>
              <w:rPr>
                <w:rFonts w:ascii="Arial" w:hAnsi="Arial" w:cs="Arial"/>
                <w:sz w:val="22"/>
              </w:rPr>
            </w:pPr>
            <w:r>
              <w:rPr>
                <w:rFonts w:ascii="Arial" w:hAnsi="Arial" w:cs="Arial"/>
                <w:sz w:val="22"/>
              </w:rPr>
              <w:t>Dialekt und regionale Identität</w:t>
            </w:r>
          </w:p>
        </w:tc>
      </w:tr>
      <w:tr w:rsidR="0092462D" w:rsidTr="00A27BF4">
        <w:tc>
          <w:tcPr>
            <w:tcW w:w="2802" w:type="dxa"/>
          </w:tcPr>
          <w:p w:rsidR="0092462D" w:rsidRDefault="0092462D" w:rsidP="00A27BF4">
            <w:pPr>
              <w:jc w:val="both"/>
              <w:rPr>
                <w:rFonts w:ascii="Arial" w:hAnsi="Arial" w:cs="Arial"/>
                <w:sz w:val="22"/>
              </w:rPr>
            </w:pPr>
            <w:r>
              <w:rPr>
                <w:rFonts w:ascii="Arial" w:hAnsi="Arial" w:cs="Arial"/>
                <w:sz w:val="22"/>
              </w:rPr>
              <w:t xml:space="preserve">Zeitrahmen </w:t>
            </w:r>
          </w:p>
        </w:tc>
        <w:tc>
          <w:tcPr>
            <w:tcW w:w="6484" w:type="dxa"/>
          </w:tcPr>
          <w:p w:rsidR="0092462D" w:rsidRDefault="0092462D" w:rsidP="00A27BF4">
            <w:pPr>
              <w:rPr>
                <w:rFonts w:ascii="Arial" w:hAnsi="Arial" w:cs="Arial"/>
                <w:sz w:val="22"/>
              </w:rPr>
            </w:pPr>
            <w:r>
              <w:rPr>
                <w:rFonts w:ascii="Arial" w:hAnsi="Arial" w:cs="Arial"/>
                <w:sz w:val="22"/>
              </w:rPr>
              <w:t>90 Minuten</w:t>
            </w:r>
          </w:p>
        </w:tc>
      </w:tr>
      <w:tr w:rsidR="0092462D" w:rsidTr="00A27BF4">
        <w:tc>
          <w:tcPr>
            <w:tcW w:w="2802" w:type="dxa"/>
          </w:tcPr>
          <w:p w:rsidR="0092462D" w:rsidRDefault="0092462D" w:rsidP="00A27BF4">
            <w:pPr>
              <w:jc w:val="both"/>
              <w:rPr>
                <w:rFonts w:ascii="Arial" w:hAnsi="Arial" w:cs="Arial"/>
                <w:sz w:val="22"/>
              </w:rPr>
            </w:pPr>
            <w:r>
              <w:rPr>
                <w:rFonts w:ascii="Arial" w:hAnsi="Arial" w:cs="Arial"/>
                <w:sz w:val="22"/>
              </w:rPr>
              <w:t>Benötigtes Material</w:t>
            </w:r>
          </w:p>
        </w:tc>
        <w:tc>
          <w:tcPr>
            <w:tcW w:w="6484" w:type="dxa"/>
          </w:tcPr>
          <w:p w:rsidR="0092462D" w:rsidRDefault="0092462D" w:rsidP="00A27BF4">
            <w:pPr>
              <w:rPr>
                <w:rFonts w:ascii="Arial" w:hAnsi="Arial" w:cs="Arial"/>
                <w:sz w:val="22"/>
              </w:rPr>
            </w:pPr>
            <w:r>
              <w:rPr>
                <w:rFonts w:ascii="Arial" w:hAnsi="Arial" w:cs="Arial"/>
                <w:sz w:val="22"/>
              </w:rPr>
              <w:t xml:space="preserve">Zeitungstext „Das Stück Heimat, das man immer </w:t>
            </w:r>
            <w:proofErr w:type="gramStart"/>
            <w:r>
              <w:rPr>
                <w:rFonts w:ascii="Arial" w:hAnsi="Arial" w:cs="Arial"/>
                <w:sz w:val="22"/>
              </w:rPr>
              <w:t>dabei hat</w:t>
            </w:r>
            <w:proofErr w:type="gramEnd"/>
            <w:r>
              <w:rPr>
                <w:rFonts w:ascii="Arial" w:hAnsi="Arial" w:cs="Arial"/>
                <w:sz w:val="22"/>
              </w:rPr>
              <w:t xml:space="preserve">“ (Augsburger Allgemeine, 2023) mit Aufgaben (M1), </w:t>
            </w:r>
          </w:p>
          <w:p w:rsidR="0092462D" w:rsidRDefault="0092462D" w:rsidP="00A27BF4">
            <w:pPr>
              <w:rPr>
                <w:rFonts w:ascii="Arial" w:hAnsi="Arial" w:cs="Arial"/>
                <w:sz w:val="22"/>
              </w:rPr>
            </w:pPr>
            <w:r>
              <w:rPr>
                <w:rFonts w:ascii="Arial" w:hAnsi="Arial" w:cs="Arial"/>
                <w:sz w:val="22"/>
              </w:rPr>
              <w:t xml:space="preserve">Infoblatt „Strukturwörter“ (M2), </w:t>
            </w:r>
          </w:p>
          <w:p w:rsidR="0092462D" w:rsidRDefault="0092462D" w:rsidP="00A27BF4">
            <w:pPr>
              <w:rPr>
                <w:rFonts w:ascii="Arial" w:hAnsi="Arial" w:cs="Arial"/>
                <w:sz w:val="22"/>
              </w:rPr>
            </w:pPr>
            <w:r>
              <w:rPr>
                <w:rFonts w:ascii="Arial" w:hAnsi="Arial" w:cs="Arial"/>
                <w:sz w:val="22"/>
              </w:rPr>
              <w:t xml:space="preserve">Internet-Link für Rechercheaufgabe (Aufgabe 3 auf M1): </w:t>
            </w:r>
            <w:hyperlink r:id="rId17" w:tooltip="https://www.dialekte.schule.bayern.de/sprachatlas/" w:history="1">
              <w:r>
                <w:rPr>
                  <w:rStyle w:val="Hyperlink"/>
                  <w:rFonts w:ascii="Calibri" w:hAnsi="Calibri" w:cs="Calibri"/>
                </w:rPr>
                <w:t>https://www.dialekte.schule.bayern.de/sprachatlas/</w:t>
              </w:r>
            </w:hyperlink>
            <w:r>
              <w:rPr>
                <w:rStyle w:val="Hyperlink"/>
                <w:rFonts w:ascii="Calibri" w:hAnsi="Calibri" w:cs="Calibri"/>
              </w:rPr>
              <w:t xml:space="preserve"> </w:t>
            </w:r>
          </w:p>
        </w:tc>
      </w:tr>
    </w:tbl>
    <w:p w:rsidR="0092462D" w:rsidRDefault="0092462D" w:rsidP="0092462D">
      <w:pPr>
        <w:pStyle w:val="berschrift1"/>
        <w:jc w:val="both"/>
        <w:rPr>
          <w:rFonts w:ascii="Arial" w:hAnsi="Arial" w:cs="Arial"/>
          <w:szCs w:val="30"/>
        </w:rPr>
      </w:pPr>
      <w:r>
        <w:rPr>
          <w:rFonts w:ascii="Arial" w:hAnsi="Arial" w:cs="Arial"/>
          <w:szCs w:val="30"/>
        </w:rPr>
        <w:t>Kompetenzerwartungen (exemplarisch aus dem LP Gymnasium)</w:t>
      </w:r>
    </w:p>
    <w:p w:rsidR="0092462D" w:rsidRDefault="0092462D" w:rsidP="0092462D">
      <w:pPr>
        <w:spacing w:before="0" w:after="0" w:line="240" w:lineRule="auto"/>
        <w:contextualSpacing/>
        <w:jc w:val="both"/>
        <w:rPr>
          <w:rFonts w:ascii="Arial" w:hAnsi="Arial" w:cs="Arial"/>
          <w:b/>
          <w:sz w:val="22"/>
        </w:rPr>
      </w:pPr>
    </w:p>
    <w:p w:rsidR="0092462D" w:rsidRDefault="0092462D" w:rsidP="0092462D">
      <w:pPr>
        <w:spacing w:before="0" w:after="0" w:line="240" w:lineRule="auto"/>
        <w:contextualSpacing/>
        <w:jc w:val="both"/>
        <w:rPr>
          <w:rFonts w:ascii="Arial" w:hAnsi="Arial" w:cs="Arial"/>
          <w:b/>
          <w:sz w:val="22"/>
        </w:rPr>
      </w:pPr>
      <w:r>
        <w:rPr>
          <w:rFonts w:ascii="Arial" w:hAnsi="Arial" w:cs="Arial"/>
          <w:b/>
          <w:sz w:val="22"/>
        </w:rPr>
        <w:t>Die Schülerinnen und Schüler…</w:t>
      </w:r>
    </w:p>
    <w:p w:rsidR="0092462D" w:rsidRDefault="0092462D" w:rsidP="0092462D">
      <w:pPr>
        <w:spacing w:before="0" w:after="0" w:line="240" w:lineRule="auto"/>
        <w:contextualSpacing/>
        <w:jc w:val="both"/>
        <w:rPr>
          <w:rFonts w:ascii="Arial" w:hAnsi="Arial" w:cs="Arial"/>
          <w:b/>
          <w:sz w:val="22"/>
        </w:rPr>
      </w:pPr>
    </w:p>
    <w:p w:rsidR="0092462D" w:rsidRDefault="0092462D" w:rsidP="0092462D">
      <w:pPr>
        <w:numPr>
          <w:ilvl w:val="0"/>
          <w:numId w:val="16"/>
        </w:numPr>
        <w:shd w:val="clear" w:color="auto" w:fill="FFFFFF"/>
        <w:spacing w:before="100" w:beforeAutospacing="1" w:after="100" w:afterAutospacing="1" w:line="240" w:lineRule="auto"/>
        <w:rPr>
          <w:rFonts w:ascii="Arial" w:eastAsia="Arial" w:hAnsi="Arial" w:cs="Arial"/>
          <w:color w:val="000000"/>
          <w:sz w:val="22"/>
        </w:rPr>
      </w:pPr>
      <w:r>
        <w:rPr>
          <w:rFonts w:ascii="Arial" w:eastAsia="Arial" w:hAnsi="Arial" w:cs="Arial"/>
          <w:color w:val="000000"/>
          <w:sz w:val="22"/>
          <w:highlight w:val="white"/>
        </w:rPr>
        <w:t>unterscheiden und reflektieren Merkmale und Leistungen von verschiedenen Sprach- und Stilebenen sowie Registern (z. B. Fachsprache, Dialekt und Jugendsprache)</w:t>
      </w:r>
      <w:r>
        <w:rPr>
          <w:rFonts w:ascii="Arial" w:eastAsia="Arial" w:hAnsi="Arial" w:cs="Arial"/>
          <w:color w:val="000000"/>
          <w:sz w:val="22"/>
        </w:rPr>
        <w:t xml:space="preserve"> (D 10, 4.1),</w:t>
      </w:r>
    </w:p>
    <w:p w:rsidR="0092462D" w:rsidRDefault="0092462D" w:rsidP="0092462D">
      <w:pPr>
        <w:numPr>
          <w:ilvl w:val="0"/>
          <w:numId w:val="16"/>
        </w:numPr>
        <w:shd w:val="clear" w:color="auto" w:fill="FFFFFF"/>
        <w:spacing w:before="100" w:beforeAutospacing="1" w:after="100" w:afterAutospacing="1" w:line="240" w:lineRule="auto"/>
        <w:rPr>
          <w:rFonts w:ascii="Arial" w:eastAsia="Arial" w:hAnsi="Arial" w:cs="Arial"/>
          <w:color w:val="000000"/>
          <w:sz w:val="22"/>
        </w:rPr>
      </w:pPr>
      <w:r>
        <w:rPr>
          <w:rFonts w:ascii="Arial" w:eastAsia="Arial" w:hAnsi="Arial" w:cs="Arial"/>
          <w:color w:val="000000"/>
          <w:sz w:val="22"/>
        </w:rPr>
        <w:t>verfassen informierende Texte, indem sie unterschiedliche, auch selbst recherchierte Materialien als Grundlage hinzuziehen. Sie definieren dabei Begriffe und erklären Sachverhalte (D 10, 3.2),</w:t>
      </w:r>
    </w:p>
    <w:p w:rsidR="0092462D" w:rsidRPr="0092462D" w:rsidRDefault="0092462D" w:rsidP="0092462D">
      <w:pPr>
        <w:numPr>
          <w:ilvl w:val="0"/>
          <w:numId w:val="16"/>
        </w:numPr>
        <w:shd w:val="clear" w:color="auto" w:fill="FFFFFF"/>
        <w:spacing w:before="100" w:beforeAutospacing="1" w:after="100" w:afterAutospacing="1" w:line="240" w:lineRule="auto"/>
        <w:rPr>
          <w:rFonts w:ascii="Arial" w:eastAsia="Arial" w:hAnsi="Arial" w:cs="Arial"/>
          <w:color w:val="000000"/>
          <w:sz w:val="22"/>
          <w:highlight w:val="white"/>
        </w:rPr>
      </w:pPr>
      <w:r>
        <w:rPr>
          <w:rFonts w:ascii="Arial" w:eastAsia="Arial" w:hAnsi="Arial" w:cs="Arial"/>
          <w:color w:val="000000"/>
          <w:sz w:val="22"/>
        </w:rPr>
        <w:t>informieren über Inhalt, Struktur, argumentative und sprachliche Gestaltung anspruchsvoller pragmatischer Texte und stellen ihr Verständnis des Textes dar, indem sie das Zusammenwirken von Inhalt, Struktur und Gestaltung sowie den Adressatenbezug und die Intention begründet erläutern (D 10, 3.2).</w:t>
      </w:r>
    </w:p>
    <w:p w:rsidR="0092462D" w:rsidRDefault="0092462D" w:rsidP="0092462D">
      <w:pPr>
        <w:shd w:val="clear" w:color="auto" w:fill="FFFFFF"/>
        <w:spacing w:before="100" w:beforeAutospacing="1" w:after="100" w:afterAutospacing="1" w:line="240" w:lineRule="auto"/>
        <w:rPr>
          <w:rFonts w:ascii="Arial" w:eastAsia="Arial" w:hAnsi="Arial" w:cs="Arial"/>
          <w:color w:val="000000"/>
          <w:sz w:val="22"/>
          <w:highlight w:val="white"/>
        </w:rPr>
      </w:pPr>
    </w:p>
    <w:p w:rsidR="0092462D" w:rsidRPr="0092462D" w:rsidRDefault="0092462D" w:rsidP="0092462D">
      <w:pPr>
        <w:pStyle w:val="berschrift1"/>
        <w:jc w:val="both"/>
        <w:rPr>
          <w:rFonts w:ascii="Arial" w:hAnsi="Arial" w:cs="Arial"/>
          <w:szCs w:val="30"/>
        </w:rPr>
      </w:pPr>
      <w:r>
        <w:rPr>
          <w:rFonts w:ascii="Arial" w:hAnsi="Arial" w:cs="Arial"/>
          <w:szCs w:val="30"/>
        </w:rPr>
        <w:lastRenderedPageBreak/>
        <w:t>Aufgabe/Material</w:t>
      </w:r>
    </w:p>
    <w:p w:rsidR="0092462D" w:rsidRPr="0092462D" w:rsidRDefault="0092462D" w:rsidP="0092462D">
      <w:pPr>
        <w:rPr>
          <w:b/>
          <w:sz w:val="28"/>
        </w:rPr>
      </w:pPr>
      <w:r w:rsidRPr="0092462D">
        <w:rPr>
          <w:b/>
          <w:sz w:val="28"/>
        </w:rPr>
        <w:t>„</w:t>
      </w:r>
      <w:r w:rsidRPr="0092462D">
        <w:rPr>
          <w:b/>
          <w:sz w:val="28"/>
        </w:rPr>
        <w:t xml:space="preserve">Das Stück Heimat, das man immer </w:t>
      </w:r>
      <w:proofErr w:type="gramStart"/>
      <w:r w:rsidRPr="0092462D">
        <w:rPr>
          <w:b/>
          <w:sz w:val="28"/>
        </w:rPr>
        <w:t>dabei hat</w:t>
      </w:r>
      <w:proofErr w:type="gramEnd"/>
      <w:r w:rsidRPr="0092462D">
        <w:rPr>
          <w:b/>
          <w:sz w:val="28"/>
        </w:rPr>
        <w:t>" (M1)</w:t>
      </w:r>
    </w:p>
    <w:p w:rsidR="0092462D" w:rsidRDefault="0092462D" w:rsidP="0092462D">
      <w:r>
        <w:t xml:space="preserve">von Paula Blinz, Jonas </w:t>
      </w:r>
      <w:proofErr w:type="spellStart"/>
      <w:r>
        <w:t>Klimm</w:t>
      </w:r>
      <w:proofErr w:type="spellEnd"/>
      <w:r>
        <w:t>, Moritz Maier, Augsburger Allgemeine, 21. September 2023</w:t>
      </w:r>
    </w:p>
    <w:p w:rsidR="0092462D" w:rsidRDefault="0092462D" w:rsidP="0092462D">
      <w:r>
        <w:t xml:space="preserve">Als Werner König vor einigen Jahren an einem französischen Flughafen stand, brachte ihn der folgende Satz zum Aufhorchen: </w:t>
      </w:r>
      <w:r>
        <w:t>„</w:t>
      </w:r>
      <w:r>
        <w:t xml:space="preserve">Reich' mir mal die </w:t>
      </w:r>
      <w:proofErr w:type="spellStart"/>
      <w:r>
        <w:t>Gschtattl</w:t>
      </w:r>
      <w:proofErr w:type="spellEnd"/>
      <w:r>
        <w:t xml:space="preserve">!" Für den Sprachwissenschaftler war sofort klar: Dieser Passagier stammt aus Augsburg. Denn </w:t>
      </w:r>
      <w:r>
        <w:t>„</w:t>
      </w:r>
      <w:proofErr w:type="spellStart"/>
      <w:r>
        <w:t>Gschtattl</w:t>
      </w:r>
      <w:proofErr w:type="spellEnd"/>
      <w:r>
        <w:t xml:space="preserve">" nennt man tatsächlich nur in Augsburg und Umgebung eine Tüte. Dieser Begriff zählt zu den tausenden Dialektwörtern, die Werner König über Jahrzehnte hinweg genauestens untersucht und in etlichen Büchern festgehalten hat. </w:t>
      </w:r>
    </w:p>
    <w:p w:rsidR="0092462D" w:rsidRDefault="0092462D" w:rsidP="0092462D">
      <w:r>
        <w:t>„</w:t>
      </w:r>
      <w:r>
        <w:t xml:space="preserve">Dialekt ist das Stück Heimat, das man immer </w:t>
      </w:r>
      <w:proofErr w:type="gramStart"/>
      <w:r>
        <w:t>dabei hat</w:t>
      </w:r>
      <w:proofErr w:type="gramEnd"/>
      <w:r>
        <w:t>", sagt der gebürtige Schwabe. König bezeichnet seinen Dialekt auch gerne als seine Muttersprache, die ihn maßgeblich geprägt hat. Dass er seine Muttersprache heutzutage kaum noch hört, stimmt den 79-Jährigen traurig. Wenn ich die Enkel von meinem Cousin reden höre, denke ich mir: Die sprechen wie kleine Preußen", sagt König.</w:t>
      </w:r>
    </w:p>
    <w:p w:rsidR="0092462D" w:rsidRDefault="0092462D" w:rsidP="0092462D">
      <w:r>
        <w:t>Sprachatlas für Bayerisch-Schwaben ist der Umfangreichste in Deutschland</w:t>
      </w:r>
    </w:p>
    <w:p w:rsidR="0092462D" w:rsidRDefault="0092462D" w:rsidP="0092462D">
      <w:r>
        <w:t xml:space="preserve">Für Dialekte begeistert sich der Sprachwissenschaftler Werner König schon sein Leben lang - so sehr, dass er seine Doktorarbeit der schwäbisch-alemannischen Mundart widmete. Nach der Promotion bekam König eine Stelle als wissenschaftlicher Mitarbeiter für ein großes Projekt der Universität Freiburg: dem </w:t>
      </w:r>
      <w:r>
        <w:t>„</w:t>
      </w:r>
      <w:r>
        <w:t>Südwestdeutschen Sprachatlas". In geografischen Karten wird darin veranschaulicht, welches Wort in welcher Region wie genannt und ausgesprochen wird.</w:t>
      </w:r>
    </w:p>
    <w:p w:rsidR="0092462D" w:rsidRDefault="0092462D" w:rsidP="0092462D">
      <w:r>
        <w:t>„</w:t>
      </w:r>
      <w:r>
        <w:t xml:space="preserve">Für mich stand gleich fest, dass es so etwas auch für meine Heimat braucht", erinnert sich König. Das ist dem pensionierten Professor der Universität Augsburg mehr als gelungen: Der </w:t>
      </w:r>
      <w:r>
        <w:t>„</w:t>
      </w:r>
      <w:r>
        <w:t xml:space="preserve">Sprachatlas für Bayerisch-Schwaben", der von 1996 bis 2009 veröffentlicht wurde, ist mit 14 Bänden sogar der umfangreichste in Deutschland. An diesem Projekt war auch Brigitte Schwarz, die gebürtig aus </w:t>
      </w:r>
      <w:proofErr w:type="spellStart"/>
      <w:r>
        <w:t>Ettringen</w:t>
      </w:r>
      <w:proofErr w:type="spellEnd"/>
      <w:r>
        <w:t xml:space="preserve"> stammt, beteiligt. Die Germanistin besuchte knapp 300 bayerisch-schwäbische Gemeinden, um auch die kleinsten Feinheiten der Dialekte für den Sprachatlas zu erfassen.</w:t>
      </w:r>
    </w:p>
    <w:p w:rsidR="0092462D" w:rsidRDefault="0092462D" w:rsidP="0092462D">
      <w:r>
        <w:t>„</w:t>
      </w:r>
      <w:r>
        <w:t>Bayerisch-Schwaben ist ein riesiger, sprachlicher Flickenteppich", sagt Schwarz. Um das Gebiet vom württembergischen Schwaben abzugrenzen, werde der Dialektraum oftmals als Ostschwäbisch bezeichnet. Die Sprache von Bayerisch-Schwaben in eine Mundart pressen zu wollen, sei allerdings so gut wie unmöglich: "Wenn richtige Dialektsprecher aus Donau-Ries und dem Oberallgäu aufeinandertreffen, hört selbst ein ortsfremder Laie, dass das nicht ein und derselbe Dialekt ist".</w:t>
      </w:r>
    </w:p>
    <w:p w:rsidR="0092462D" w:rsidRDefault="0092462D" w:rsidP="0092462D">
      <w:r>
        <w:t xml:space="preserve">Grob gesagt lasse sich die Region daher in drei große Sprachräume unterteilen: in das Nordschwäbische ab Wertingen und nördlich der Donau, bei dem gebietsweise auch Einflüsse vom Fränkischen und Bairischen durchklingen; in das Mittelschwäbische, zu dem der Landkreis Augsburg zählt, sowie das Südschwäbische ab Kempten, bei dem im West- und Oberallgäu auch alemannisch gesprochen wird. </w:t>
      </w:r>
      <w:r>
        <w:t>„</w:t>
      </w:r>
      <w:r>
        <w:t xml:space="preserve">Wichtig ist es aber immer, diese Sprachgrenzen nicht als starr, sondern als fließend zu begreifen", sagt Schwarz. </w:t>
      </w:r>
    </w:p>
    <w:p w:rsidR="0092462D" w:rsidRDefault="0092462D" w:rsidP="0092462D">
      <w:r>
        <w:t>Der Lech ist einer der schärfsten Mundartgrenzen in Deutschland</w:t>
      </w:r>
    </w:p>
    <w:p w:rsidR="0092462D" w:rsidRDefault="0092462D" w:rsidP="0092462D">
      <w:r>
        <w:t xml:space="preserve">Einig ist sich die Sprachforschung laut der Wissenschaftlerin zumindest in einem Punkt: So gilt der Lech als eine der schärfsten Mundartgrenzen in Deutschland. Die Germanistin kann erklären, woran das liegt: </w:t>
      </w:r>
      <w:r>
        <w:t>„</w:t>
      </w:r>
      <w:r>
        <w:t xml:space="preserve">Der Lech war etwa 1000 Jahre lang die politische Grenze zwischen dem großen, bayerischen Königreich und den vielen, kleinen Fürstentümern im heutigen Bayerisch-Schwaben." </w:t>
      </w:r>
    </w:p>
    <w:p w:rsidR="0092462D" w:rsidRDefault="0092462D" w:rsidP="0092462D">
      <w:r>
        <w:lastRenderedPageBreak/>
        <w:t xml:space="preserve">Laut Werner König sind die sprachlichen Unterschiede links und rechts vom Lech auch heute noch leicht zu hören. </w:t>
      </w:r>
      <w:r>
        <w:t>„</w:t>
      </w:r>
      <w:r>
        <w:t xml:space="preserve">Zwischen Meitingen und </w:t>
      </w:r>
      <w:proofErr w:type="spellStart"/>
      <w:r>
        <w:t>Thierhaupten</w:t>
      </w:r>
      <w:proofErr w:type="spellEnd"/>
      <w:r>
        <w:t xml:space="preserve"> etwa gibt es eine sehr scharfe Grenze", sagt er. Davon abgesehen sei es allerdings schwierig, sprachliche Merkmale zu nennen, die ausschließlich für Bayerisch-Schwaben gelten. „Das ‚</w:t>
      </w:r>
      <w:proofErr w:type="spellStart"/>
      <w:r>
        <w:t>Sch</w:t>
      </w:r>
      <w:proofErr w:type="spellEnd"/>
      <w:r>
        <w:t xml:space="preserve">‘ statt einem </w:t>
      </w:r>
      <w:proofErr w:type="gramStart"/>
      <w:r>
        <w:t>einfachen ,S</w:t>
      </w:r>
      <w:proofErr w:type="gramEnd"/>
      <w:r>
        <w:t xml:space="preserve">´ wird oft als markantes Merkmal des Schwäbischen beschrieben. Das gibt es aber in vielen anderen Dialekten auch", erklärt König. Ebenso verhalte es sich auch beim Wechsel </w:t>
      </w:r>
      <w:proofErr w:type="gramStart"/>
      <w:r>
        <w:t>von ,</w:t>
      </w:r>
      <w:proofErr w:type="spellStart"/>
      <w:r>
        <w:t>ei</w:t>
      </w:r>
      <w:proofErr w:type="spellEnd"/>
      <w:proofErr w:type="gramEnd"/>
      <w:r>
        <w:t>´ zu ,</w:t>
      </w:r>
      <w:proofErr w:type="spellStart"/>
      <w:r>
        <w:t>oi</w:t>
      </w:r>
      <w:proofErr w:type="spellEnd"/>
      <w:r>
        <w:t>´ - zum Beispiel ,</w:t>
      </w:r>
      <w:proofErr w:type="spellStart"/>
      <w:r>
        <w:t>woisch</w:t>
      </w:r>
      <w:proofErr w:type="spellEnd"/>
      <w:r>
        <w:t xml:space="preserve">´ statt ,weißt´. "Dieses Merkmal ist auch sehr verbreitet, das geht bis zum Schwarzwald", sagt der Sprachwissenschaftler. </w:t>
      </w:r>
    </w:p>
    <w:p w:rsidR="0092462D" w:rsidRDefault="0092462D" w:rsidP="0092462D">
      <w:r>
        <w:t>Auch im Augsburger Land sind sprachliche Unterschiede zu hören</w:t>
      </w:r>
    </w:p>
    <w:p w:rsidR="0092462D" w:rsidRDefault="0092462D" w:rsidP="0092462D">
      <w:r>
        <w:t xml:space="preserve">Statt allgemeingültigen Sprachmerkmalen kann König vielmehr einige sprachliche Unterschiede benennen. Nicht nur in Abgrenzung zu anderen Dialekten, sondern auch innerhalb der Region. Im Augsburger Land sei es etwa deutlich zu hören, ob ein Sprecher oder eine Sprecherin aus dem nördlichen oder dem südlichen Landkreis stammt. </w:t>
      </w:r>
      <w:r>
        <w:t>„</w:t>
      </w:r>
      <w:r>
        <w:t>Im Süden wird die Sprache schon durch das Allgäu beeinflusst", sagt der 79-Jährige.</w:t>
      </w:r>
    </w:p>
    <w:p w:rsidR="0092462D" w:rsidRDefault="0092462D" w:rsidP="0092462D">
      <w:r>
        <w:t xml:space="preserve">Während im südlichen Landkreis ein </w:t>
      </w:r>
      <w:proofErr w:type="gramStart"/>
      <w:r>
        <w:t>hartes ,K</w:t>
      </w:r>
      <w:proofErr w:type="gramEnd"/>
      <w:r>
        <w:t xml:space="preserve">´ gesprochen werde, werde der Buchstabe im nördlichen Landkreis mehr zu einem weichen ,G´. König nennt zwei Beispiele: </w:t>
      </w:r>
      <w:r>
        <w:t>„</w:t>
      </w:r>
      <w:r>
        <w:t xml:space="preserve">Die Knie heißen im Süden </w:t>
      </w:r>
      <w:proofErr w:type="spellStart"/>
      <w:r>
        <w:t>Knia</w:t>
      </w:r>
      <w:proofErr w:type="spellEnd"/>
      <w:r>
        <w:t xml:space="preserve">, klein wird zu </w:t>
      </w:r>
      <w:proofErr w:type="spellStart"/>
      <w:r>
        <w:t>kloi</w:t>
      </w:r>
      <w:proofErr w:type="spellEnd"/>
      <w:r>
        <w:t xml:space="preserve">. Im Norden sagt man dagegen </w:t>
      </w:r>
      <w:proofErr w:type="spellStart"/>
      <w:r>
        <w:t>Gnia</w:t>
      </w:r>
      <w:proofErr w:type="spellEnd"/>
      <w:r>
        <w:t xml:space="preserve"> und </w:t>
      </w:r>
      <w:proofErr w:type="spellStart"/>
      <w:r>
        <w:t>gloi</w:t>
      </w:r>
      <w:proofErr w:type="spellEnd"/>
      <w:r>
        <w:t xml:space="preserve">." Ein weiterer Unterschied sei, dass im südlichen Landkreis häufig ein kurz </w:t>
      </w:r>
      <w:proofErr w:type="gramStart"/>
      <w:r>
        <w:t>gesprochenes ,A</w:t>
      </w:r>
      <w:proofErr w:type="gramEnd"/>
      <w:r>
        <w:t xml:space="preserve">´ an Wörter gehangen wird, im nördlichen Landkreis ist es dagegen ein angehängtes ,E´. Aus einem Mädchen wird also ein </w:t>
      </w:r>
      <w:proofErr w:type="spellStart"/>
      <w:r>
        <w:t>Mädla</w:t>
      </w:r>
      <w:proofErr w:type="spellEnd"/>
      <w:r>
        <w:t xml:space="preserve"> oder ein </w:t>
      </w:r>
      <w:proofErr w:type="spellStart"/>
      <w:r>
        <w:t>Mädle</w:t>
      </w:r>
      <w:proofErr w:type="spellEnd"/>
      <w:r>
        <w:t xml:space="preserve">. </w:t>
      </w:r>
    </w:p>
    <w:p w:rsidR="0092462D" w:rsidRDefault="0092462D" w:rsidP="0092462D">
      <w:r>
        <w:t xml:space="preserve">Das Wort </w:t>
      </w:r>
      <w:r>
        <w:t>„</w:t>
      </w:r>
      <w:proofErr w:type="spellStart"/>
      <w:r>
        <w:t>Gschtattl</w:t>
      </w:r>
      <w:proofErr w:type="spellEnd"/>
      <w:r>
        <w:t>" kommt vermutlich aus dem Italienischen</w:t>
      </w:r>
    </w:p>
    <w:p w:rsidR="0092462D" w:rsidRDefault="0092462D" w:rsidP="0092462D">
      <w:r>
        <w:t xml:space="preserve">Neben einer anderen Aussprache als im Hochdeutschen gibt es auch einige Wörter, die im Dialekt einen ganz eigenen Begriff haben. Wie etwa </w:t>
      </w:r>
      <w:r>
        <w:t>„</w:t>
      </w:r>
      <w:proofErr w:type="spellStart"/>
      <w:r>
        <w:t>Gschtattl</w:t>
      </w:r>
      <w:proofErr w:type="spellEnd"/>
      <w:r>
        <w:t xml:space="preserve">" für eine Tüte. Häufig kursieren über die Herkunft solcher Eigennamen verschiedene Theorien. "Ich halte es für wahrscheinlich, dass </w:t>
      </w:r>
      <w:proofErr w:type="spellStart"/>
      <w:r>
        <w:t>Gschtattl</w:t>
      </w:r>
      <w:proofErr w:type="spellEnd"/>
      <w:r>
        <w:t xml:space="preserve"> vom </w:t>
      </w:r>
      <w:proofErr w:type="gramStart"/>
      <w:r>
        <w:t>italienischen ,</w:t>
      </w:r>
      <w:proofErr w:type="spellStart"/>
      <w:r>
        <w:t>Scatula</w:t>
      </w:r>
      <w:proofErr w:type="spellEnd"/>
      <w:proofErr w:type="gramEnd"/>
      <w:r>
        <w:t xml:space="preserve">´ für Schachtel abgeleitet wurde", sagt König. </w:t>
      </w:r>
      <w:r>
        <w:t>„</w:t>
      </w:r>
      <w:r>
        <w:t xml:space="preserve">Vermutlich ist das Wort durch die früheren Handelsbeziehungen zwischen Augsburg und Italien zu uns gekommen." Wenn der gebürtige </w:t>
      </w:r>
      <w:proofErr w:type="spellStart"/>
      <w:r>
        <w:t>Gräbinger</w:t>
      </w:r>
      <w:proofErr w:type="spellEnd"/>
      <w:r>
        <w:t xml:space="preserve"> solche Dialektwörter im Ausland hört, fühlt er sich gleich an seine Heimat erinnert. Generell spiele die Sprache eine wesentliche Rolle dabei, wie verbunden sich Menschen mit ihrer Region und untereinander fühlen.</w:t>
      </w:r>
    </w:p>
    <w:p w:rsidR="0092462D" w:rsidRDefault="0092462D" w:rsidP="0092462D">
      <w:pPr>
        <w:rPr>
          <w:i/>
        </w:rPr>
      </w:pPr>
      <w:r w:rsidRPr="0092462D">
        <w:rPr>
          <w:i/>
        </w:rPr>
        <w:t xml:space="preserve">Quelle: https://www.augsburger-allgemeine.de/schwabmuenchen/multimedia-reportage-dialekt-serie-das-stueck-heimat-das-man-immer-dabei-hat-id64703806.html </w:t>
      </w:r>
    </w:p>
    <w:p w:rsidR="0092462D" w:rsidRDefault="0092462D" w:rsidP="0092462D"/>
    <w:p w:rsidR="0092462D" w:rsidRPr="0092462D" w:rsidRDefault="0092462D" w:rsidP="0092462D">
      <w:pPr>
        <w:rPr>
          <w:b/>
        </w:rPr>
      </w:pPr>
      <w:r w:rsidRPr="0092462D">
        <w:rPr>
          <w:b/>
        </w:rPr>
        <w:t>Aufgaben:</w:t>
      </w:r>
    </w:p>
    <w:p w:rsidR="0092462D" w:rsidRDefault="0092462D" w:rsidP="0092462D">
      <w:pPr>
        <w:pStyle w:val="Listenabsatz"/>
        <w:numPr>
          <w:ilvl w:val="0"/>
          <w:numId w:val="17"/>
        </w:numPr>
      </w:pPr>
      <w:r>
        <w:rPr>
          <w:rFonts w:asciiTheme="minorHAnsi" w:hAnsiTheme="minorHAnsi" w:cstheme="minorHAnsi"/>
          <w:noProof/>
        </w:rPr>
        <w:drawing>
          <wp:anchor distT="0" distB="0" distL="114300" distR="114300" simplePos="0" relativeHeight="251661312" behindDoc="0" locked="0" layoutInCell="1" allowOverlap="1" wp14:anchorId="2D1141BA" wp14:editId="0A135A9C">
            <wp:simplePos x="0" y="0"/>
            <wp:positionH relativeFrom="margin">
              <wp:posOffset>1473200</wp:posOffset>
            </wp:positionH>
            <wp:positionV relativeFrom="paragraph">
              <wp:posOffset>123825</wp:posOffset>
            </wp:positionV>
            <wp:extent cx="209550" cy="209550"/>
            <wp:effectExtent l="0" t="0" r="0" b="0"/>
            <wp:wrapNone/>
            <wp:docPr id="3" name="Grafik 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94122" name="Grafik 1180394122" descr="Informationen mit einfarbiger Füllung"/>
                    <pic:cNvPicPr>
                      <a:picLocks noChangeAspect="1"/>
                    </pic:cNvPicPr>
                  </pic:nvPicPr>
                  <pic:blipFill>
                    <a:blip r:embed="rId18">
                      <a:extLst>
                        <a:ext uri="{96DAC541-7B7A-43D3-8B79-37D633B846F1}">
                          <asvg:svgBlip xmlns:asvg="http://schemas.microsoft.com/office/drawing/2016/SVG/main" r:embed="rId19"/>
                        </a:ext>
                      </a:extLst>
                    </a:blip>
                    <a:stretch/>
                  </pic:blipFill>
                  <pic:spPr bwMode="auto">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t xml:space="preserve">Fassen Sie den Text unter Zuhilfenahme von Strukturwörtern zusammen. Nutzen Sie dazu das Informationsblatt. </w:t>
      </w:r>
    </w:p>
    <w:p w:rsidR="0092462D" w:rsidRDefault="0092462D" w:rsidP="0092462D">
      <w:pPr>
        <w:pStyle w:val="Listenabsatz"/>
        <w:numPr>
          <w:ilvl w:val="0"/>
          <w:numId w:val="17"/>
        </w:numPr>
      </w:pPr>
      <w:r>
        <w:t xml:space="preserve">Welches ist Ihr Stück Heimat, das Sie immer </w:t>
      </w:r>
      <w:proofErr w:type="gramStart"/>
      <w:r>
        <w:t>dabei haben</w:t>
      </w:r>
      <w:proofErr w:type="gramEnd"/>
      <w:r>
        <w:t>? Begründen Sie diese Frage schriftlich</w:t>
      </w:r>
      <w:r>
        <w:t>.</w:t>
      </w:r>
    </w:p>
    <w:p w:rsidR="0092462D" w:rsidRDefault="0092462D" w:rsidP="0092462D">
      <w:pPr>
        <w:pStyle w:val="Listenabsatz"/>
        <w:numPr>
          <w:ilvl w:val="0"/>
          <w:numId w:val="17"/>
        </w:numPr>
      </w:pPr>
      <w:r>
        <w:t xml:space="preserve">Informieren Sie sich auf https://www.dialekte.schule.bayern.de/sprachatlas/ über die verschiedenen Bezeichnungen, die es in den Dialekten in Bayern für das „Mädchen“ gibt (zu finden unter „Wochentage und Namensbezeichnungen“). Verfassen Sie einen kurzen Infotext zu dieser Dialektkarte, der die Herkunft der Bezeichnungen erklärt. Weitere Informationen zu diesem Thema: </w:t>
      </w:r>
      <w:hyperlink r:id="rId20" w:history="1">
        <w:r w:rsidRPr="008B6DEB">
          <w:rPr>
            <w:rStyle w:val="Hyperlink"/>
          </w:rPr>
          <w:t>https://opus.bibliothek.uni-augsburg.de/opus4/frontdoor/deliver/index/docId/46523/file/46523.pdf</w:t>
        </w:r>
      </w:hyperlink>
      <w:r>
        <w:t xml:space="preserve"> </w:t>
      </w:r>
      <w:r>
        <w:t xml:space="preserve">, S. 19-23. </w:t>
      </w:r>
    </w:p>
    <w:p w:rsidR="0092462D" w:rsidRDefault="0092462D" w:rsidP="0092462D">
      <w:r>
        <w:t xml:space="preserve"> </w:t>
      </w:r>
    </w:p>
    <w:p w:rsidR="0092462D" w:rsidRDefault="0092462D" w:rsidP="0092462D">
      <w:pPr>
        <w:spacing w:line="360" w:lineRule="auto"/>
        <w:jc w:val="center"/>
        <w:rPr>
          <w:rFonts w:asciiTheme="minorHAnsi" w:hAnsiTheme="minorHAnsi" w:cstheme="minorHAnsi"/>
          <w:b/>
          <w:sz w:val="44"/>
          <w:szCs w:val="28"/>
        </w:rPr>
      </w:pPr>
      <w:r>
        <w:rPr>
          <w:rFonts w:asciiTheme="minorHAnsi" w:hAnsiTheme="minorHAnsi" w:cstheme="minorHAnsi"/>
          <w:noProof/>
        </w:rPr>
        <w:lastRenderedPageBreak/>
        <w:drawing>
          <wp:anchor distT="0" distB="0" distL="114300" distR="114300" simplePos="0" relativeHeight="251663360" behindDoc="0" locked="0" layoutInCell="1" allowOverlap="1" wp14:anchorId="2D1141BA" wp14:editId="0A135A9C">
            <wp:simplePos x="0" y="0"/>
            <wp:positionH relativeFrom="margin">
              <wp:posOffset>954405</wp:posOffset>
            </wp:positionH>
            <wp:positionV relativeFrom="paragraph">
              <wp:posOffset>-195580</wp:posOffset>
            </wp:positionV>
            <wp:extent cx="633600" cy="633600"/>
            <wp:effectExtent l="0" t="0" r="0" b="0"/>
            <wp:wrapNone/>
            <wp:docPr id="9" name="Grafik 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94122" name="Grafik 1180394122" descr="Informationen mit einfarbiger Füllung"/>
                    <pic:cNvPicPr>
                      <a:picLocks noChangeAspect="1"/>
                    </pic:cNvPicPr>
                  </pic:nvPicPr>
                  <pic:blipFill>
                    <a:blip r:embed="rId18">
                      <a:extLst>
                        <a:ext uri="{96DAC541-7B7A-43D3-8B79-37D633B846F1}">
                          <asvg:svgBlip xmlns:asvg="http://schemas.microsoft.com/office/drawing/2016/SVG/main" r:embed="rId19"/>
                        </a:ext>
                      </a:extLst>
                    </a:blip>
                    <a:stretch/>
                  </pic:blipFill>
                  <pic:spPr bwMode="auto">
                    <a:xfrm>
                      <a:off x="0" y="0"/>
                      <a:ext cx="633600" cy="633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44"/>
          <w:szCs w:val="28"/>
        </w:rPr>
        <w:t>Strukturwörter (M2)</w:t>
      </w:r>
    </w:p>
    <w:p w:rsidR="0092462D" w:rsidRPr="0092462D" w:rsidRDefault="0092462D" w:rsidP="0092462D">
      <w:pPr>
        <w:spacing w:line="360" w:lineRule="auto"/>
        <w:jc w:val="both"/>
        <w:rPr>
          <w:rFonts w:ascii="Arial" w:hAnsi="Arial" w:cs="Arial"/>
        </w:rPr>
      </w:pPr>
      <w:r w:rsidRPr="0092462D">
        <w:rPr>
          <w:rFonts w:ascii="Arial" w:hAnsi="Arial" w:cs="Arial"/>
        </w:rPr>
        <w:t>Um Textanalysen wie Inhaltsangaben, Sachtextanalysen, Überblicksinformationen und Stellungnahmen zu formulieren, ist es wichtig, eine Vielzahl von Strukturwörtern (synonym auch strukturierende Verben genannt) zu verwenden. Strukturierende Verben spielen dabei eine entscheidende Rolle, indem sie verdeutlichen, welchen Standpunkt der Autor oder die Autorin vertritt, welche Absicht hinter dem Text steht und welches Ziel damit verfolgt wird.</w:t>
      </w:r>
    </w:p>
    <w:p w:rsidR="0092462D" w:rsidRPr="0092462D" w:rsidRDefault="0092462D" w:rsidP="0092462D">
      <w:pPr>
        <w:spacing w:line="360" w:lineRule="auto"/>
        <w:jc w:val="both"/>
        <w:rPr>
          <w:rFonts w:ascii="Arial" w:hAnsi="Arial" w:cs="Arial"/>
        </w:rPr>
      </w:pPr>
    </w:p>
    <w:tbl>
      <w:tblPr>
        <w:tblStyle w:val="Tabellenraster"/>
        <w:tblW w:w="0" w:type="auto"/>
        <w:tblLook w:val="04A0" w:firstRow="1" w:lastRow="0" w:firstColumn="1" w:lastColumn="0" w:noHBand="0" w:noVBand="1"/>
      </w:tblPr>
      <w:tblGrid>
        <w:gridCol w:w="3777"/>
        <w:gridCol w:w="5285"/>
      </w:tblGrid>
      <w:tr w:rsidR="0092462D" w:rsidRPr="0092462D" w:rsidTr="00A27BF4">
        <w:tc>
          <w:tcPr>
            <w:tcW w:w="3777" w:type="dxa"/>
            <w:shd w:val="clear" w:color="auto" w:fill="D9D9D9" w:themeFill="background1" w:themeFillShade="D9"/>
          </w:tcPr>
          <w:p w:rsidR="0092462D" w:rsidRPr="0092462D" w:rsidRDefault="0092462D" w:rsidP="00A27BF4">
            <w:pPr>
              <w:spacing w:line="360" w:lineRule="auto"/>
              <w:rPr>
                <w:rFonts w:ascii="Arial" w:hAnsi="Arial" w:cs="Arial"/>
                <w:b/>
                <w:bCs/>
              </w:rPr>
            </w:pPr>
            <w:r w:rsidRPr="0092462D">
              <w:rPr>
                <w:rFonts w:ascii="Arial" w:hAnsi="Arial" w:cs="Arial"/>
                <w:b/>
                <w:bCs/>
              </w:rPr>
              <w:t>Strukturierende Verben</w:t>
            </w:r>
          </w:p>
        </w:tc>
        <w:tc>
          <w:tcPr>
            <w:tcW w:w="5285" w:type="dxa"/>
            <w:shd w:val="clear" w:color="auto" w:fill="D9D9D9" w:themeFill="background1" w:themeFillShade="D9"/>
          </w:tcPr>
          <w:p w:rsidR="0092462D" w:rsidRPr="0092462D" w:rsidRDefault="0092462D" w:rsidP="00A27BF4">
            <w:pPr>
              <w:spacing w:line="360" w:lineRule="auto"/>
              <w:rPr>
                <w:rFonts w:ascii="Arial" w:hAnsi="Arial" w:cs="Arial"/>
                <w:b/>
                <w:bCs/>
              </w:rPr>
            </w:pPr>
            <w:r w:rsidRPr="0092462D">
              <w:rPr>
                <w:rFonts w:ascii="Arial" w:hAnsi="Arial" w:cs="Arial"/>
                <w:b/>
                <w:bCs/>
              </w:rPr>
              <w:t>Beispiele</w:t>
            </w:r>
          </w:p>
        </w:tc>
      </w:tr>
      <w:tr w:rsidR="0092462D" w:rsidRPr="0092462D" w:rsidTr="00A27BF4">
        <w:tc>
          <w:tcPr>
            <w:tcW w:w="3777" w:type="dxa"/>
          </w:tcPr>
          <w:p w:rsidR="0092462D" w:rsidRPr="0092462D" w:rsidRDefault="0092462D" w:rsidP="00A27BF4">
            <w:pPr>
              <w:spacing w:line="360" w:lineRule="auto"/>
              <w:rPr>
                <w:rFonts w:ascii="Arial" w:hAnsi="Arial" w:cs="Arial"/>
              </w:rPr>
            </w:pPr>
            <w:r w:rsidRPr="0092462D">
              <w:rPr>
                <w:rFonts w:ascii="Arial" w:hAnsi="Arial" w:cs="Arial"/>
              </w:rPr>
              <w:t xml:space="preserve">mit </w:t>
            </w:r>
            <w:r w:rsidRPr="0092462D">
              <w:rPr>
                <w:rFonts w:ascii="Arial" w:hAnsi="Arial" w:cs="Arial"/>
                <w:b/>
                <w:bCs/>
              </w:rPr>
              <w:t>informativem</w:t>
            </w:r>
            <w:r w:rsidRPr="0092462D">
              <w:rPr>
                <w:rFonts w:ascii="Arial" w:hAnsi="Arial" w:cs="Arial"/>
              </w:rPr>
              <w:t xml:space="preserve"> Charakter</w:t>
            </w:r>
          </w:p>
        </w:tc>
        <w:tc>
          <w:tcPr>
            <w:tcW w:w="5285" w:type="dxa"/>
          </w:tcPr>
          <w:p w:rsidR="0092462D" w:rsidRPr="0092462D" w:rsidRDefault="0092462D" w:rsidP="00A27BF4">
            <w:pPr>
              <w:spacing w:line="360" w:lineRule="auto"/>
              <w:rPr>
                <w:rFonts w:ascii="Arial" w:hAnsi="Arial" w:cs="Arial"/>
                <w:i/>
                <w:iCs/>
              </w:rPr>
            </w:pPr>
            <w:r w:rsidRPr="0092462D">
              <w:rPr>
                <w:rFonts w:ascii="Arial" w:hAnsi="Arial" w:cs="Arial"/>
                <w:i/>
                <w:iCs/>
              </w:rPr>
              <w:t>aufzeigen, informieren, ausführen, darlegen, feststellen, analysieren, untersuchen, …</w:t>
            </w:r>
          </w:p>
        </w:tc>
      </w:tr>
      <w:tr w:rsidR="0092462D" w:rsidRPr="0092462D" w:rsidTr="00A27BF4">
        <w:tc>
          <w:tcPr>
            <w:tcW w:w="3777" w:type="dxa"/>
          </w:tcPr>
          <w:p w:rsidR="0092462D" w:rsidRPr="0092462D" w:rsidRDefault="0092462D" w:rsidP="00A27BF4">
            <w:pPr>
              <w:spacing w:line="360" w:lineRule="auto"/>
              <w:rPr>
                <w:rFonts w:ascii="Arial" w:hAnsi="Arial" w:cs="Arial"/>
              </w:rPr>
            </w:pPr>
            <w:r w:rsidRPr="0092462D">
              <w:rPr>
                <w:rFonts w:ascii="Arial" w:hAnsi="Arial" w:cs="Arial"/>
              </w:rPr>
              <w:t xml:space="preserve">zur </w:t>
            </w:r>
            <w:r w:rsidRPr="0092462D">
              <w:rPr>
                <w:rFonts w:ascii="Arial" w:hAnsi="Arial" w:cs="Arial"/>
                <w:b/>
                <w:bCs/>
              </w:rPr>
              <w:t>Verdeutlichung zeitlicher Zusammenhänge</w:t>
            </w:r>
          </w:p>
        </w:tc>
        <w:tc>
          <w:tcPr>
            <w:tcW w:w="5285" w:type="dxa"/>
          </w:tcPr>
          <w:p w:rsidR="0092462D" w:rsidRPr="0092462D" w:rsidRDefault="0092462D" w:rsidP="00A27BF4">
            <w:pPr>
              <w:spacing w:line="360" w:lineRule="auto"/>
              <w:rPr>
                <w:rFonts w:ascii="Arial" w:hAnsi="Arial" w:cs="Arial"/>
                <w:i/>
                <w:iCs/>
              </w:rPr>
            </w:pPr>
            <w:r w:rsidRPr="0092462D">
              <w:rPr>
                <w:rFonts w:ascii="Arial" w:hAnsi="Arial" w:cs="Arial"/>
                <w:i/>
                <w:iCs/>
              </w:rPr>
              <w:t>zurückblicken, einen Rückblick geben, früher und heute gegenüberstellen, vergleichen, prognostizieren, …</w:t>
            </w:r>
          </w:p>
        </w:tc>
      </w:tr>
      <w:tr w:rsidR="0092462D" w:rsidRPr="0092462D" w:rsidTr="00A27BF4">
        <w:tc>
          <w:tcPr>
            <w:tcW w:w="3777" w:type="dxa"/>
          </w:tcPr>
          <w:p w:rsidR="0092462D" w:rsidRPr="0092462D" w:rsidRDefault="0092462D" w:rsidP="00A27BF4">
            <w:pPr>
              <w:spacing w:line="360" w:lineRule="auto"/>
              <w:rPr>
                <w:rFonts w:ascii="Arial" w:hAnsi="Arial" w:cs="Arial"/>
              </w:rPr>
            </w:pPr>
            <w:r w:rsidRPr="0092462D">
              <w:rPr>
                <w:rFonts w:ascii="Arial" w:hAnsi="Arial" w:cs="Arial"/>
              </w:rPr>
              <w:t xml:space="preserve">zur </w:t>
            </w:r>
            <w:r w:rsidRPr="0092462D">
              <w:rPr>
                <w:rFonts w:ascii="Arial" w:hAnsi="Arial" w:cs="Arial"/>
                <w:b/>
                <w:bCs/>
              </w:rPr>
              <w:t>Beurteilung eines Sachverhalts</w:t>
            </w:r>
          </w:p>
        </w:tc>
        <w:tc>
          <w:tcPr>
            <w:tcW w:w="5285" w:type="dxa"/>
          </w:tcPr>
          <w:p w:rsidR="0092462D" w:rsidRPr="0092462D" w:rsidRDefault="0092462D" w:rsidP="00A27BF4">
            <w:pPr>
              <w:spacing w:line="360" w:lineRule="auto"/>
              <w:rPr>
                <w:rFonts w:ascii="Arial" w:hAnsi="Arial" w:cs="Arial"/>
                <w:i/>
                <w:iCs/>
              </w:rPr>
            </w:pPr>
            <w:r w:rsidRPr="0092462D">
              <w:rPr>
                <w:rFonts w:ascii="Arial" w:hAnsi="Arial" w:cs="Arial"/>
                <w:i/>
                <w:iCs/>
              </w:rPr>
              <w:t>kritisieren, Kritik üben, negativ/positiv bewerten, verurteilen, gutheißen, als falsch/bedenklich/richtig/überzeugend einstufen, bezweifeln, befürworten, infrage stellen, (miss)billigen, …</w:t>
            </w:r>
          </w:p>
        </w:tc>
      </w:tr>
      <w:tr w:rsidR="0092462D" w:rsidRPr="0092462D" w:rsidTr="00A27BF4">
        <w:tc>
          <w:tcPr>
            <w:tcW w:w="3777" w:type="dxa"/>
          </w:tcPr>
          <w:p w:rsidR="0092462D" w:rsidRPr="0092462D" w:rsidRDefault="0092462D" w:rsidP="00A27BF4">
            <w:pPr>
              <w:spacing w:line="360" w:lineRule="auto"/>
              <w:rPr>
                <w:rFonts w:ascii="Arial" w:hAnsi="Arial" w:cs="Arial"/>
              </w:rPr>
            </w:pPr>
            <w:r w:rsidRPr="0092462D">
              <w:rPr>
                <w:rFonts w:ascii="Arial" w:hAnsi="Arial" w:cs="Arial"/>
              </w:rPr>
              <w:t xml:space="preserve">zur </w:t>
            </w:r>
            <w:r w:rsidRPr="0092462D">
              <w:rPr>
                <w:rFonts w:ascii="Arial" w:hAnsi="Arial" w:cs="Arial"/>
                <w:b/>
                <w:bCs/>
              </w:rPr>
              <w:t>Darstellung von Argumentationszusammenhängen</w:t>
            </w:r>
          </w:p>
        </w:tc>
        <w:tc>
          <w:tcPr>
            <w:tcW w:w="5285" w:type="dxa"/>
          </w:tcPr>
          <w:p w:rsidR="0092462D" w:rsidRPr="0092462D" w:rsidRDefault="0092462D" w:rsidP="00A27BF4">
            <w:pPr>
              <w:spacing w:line="360" w:lineRule="auto"/>
              <w:rPr>
                <w:rFonts w:ascii="Arial" w:hAnsi="Arial" w:cs="Arial"/>
                <w:i/>
                <w:iCs/>
              </w:rPr>
            </w:pPr>
            <w:r w:rsidRPr="0092462D">
              <w:rPr>
                <w:rFonts w:ascii="Arial" w:hAnsi="Arial" w:cs="Arial"/>
                <w:i/>
                <w:iCs/>
              </w:rPr>
              <w:t xml:space="preserve">die Ansicht </w:t>
            </w:r>
            <w:proofErr w:type="gramStart"/>
            <w:r w:rsidRPr="0092462D">
              <w:rPr>
                <w:rFonts w:ascii="Arial" w:hAnsi="Arial" w:cs="Arial"/>
                <w:i/>
                <w:iCs/>
              </w:rPr>
              <w:t>vertreten</w:t>
            </w:r>
            <w:proofErr w:type="gramEnd"/>
            <w:r w:rsidRPr="0092462D">
              <w:rPr>
                <w:rFonts w:ascii="Arial" w:hAnsi="Arial" w:cs="Arial"/>
                <w:i/>
                <w:iCs/>
              </w:rPr>
              <w:t>, argumentieren für/gegen, an Beispielen zeigen, veranschaulichen, begründen, Ursachen nennen, sich stützen auf, erörtern, verdeutlichen, …</w:t>
            </w:r>
          </w:p>
        </w:tc>
      </w:tr>
      <w:tr w:rsidR="0092462D" w:rsidRPr="0092462D" w:rsidTr="00A27BF4">
        <w:tc>
          <w:tcPr>
            <w:tcW w:w="3777" w:type="dxa"/>
          </w:tcPr>
          <w:p w:rsidR="0092462D" w:rsidRPr="0092462D" w:rsidRDefault="0092462D" w:rsidP="00A27BF4">
            <w:pPr>
              <w:spacing w:line="360" w:lineRule="auto"/>
              <w:rPr>
                <w:rFonts w:ascii="Arial" w:hAnsi="Arial" w:cs="Arial"/>
              </w:rPr>
            </w:pPr>
            <w:r w:rsidRPr="0092462D">
              <w:rPr>
                <w:rFonts w:ascii="Arial" w:hAnsi="Arial" w:cs="Arial"/>
              </w:rPr>
              <w:t xml:space="preserve">mit </w:t>
            </w:r>
            <w:r w:rsidRPr="0092462D">
              <w:rPr>
                <w:rFonts w:ascii="Arial" w:hAnsi="Arial" w:cs="Arial"/>
                <w:b/>
                <w:bCs/>
              </w:rPr>
              <w:t>einräumendem Charakter</w:t>
            </w:r>
          </w:p>
        </w:tc>
        <w:tc>
          <w:tcPr>
            <w:tcW w:w="5285" w:type="dxa"/>
          </w:tcPr>
          <w:p w:rsidR="0092462D" w:rsidRPr="0092462D" w:rsidRDefault="0092462D" w:rsidP="00A27BF4">
            <w:pPr>
              <w:spacing w:line="360" w:lineRule="auto"/>
              <w:rPr>
                <w:rFonts w:ascii="Arial" w:hAnsi="Arial" w:cs="Arial"/>
                <w:i/>
                <w:iCs/>
              </w:rPr>
            </w:pPr>
            <w:r w:rsidRPr="0092462D">
              <w:rPr>
                <w:rFonts w:ascii="Arial" w:hAnsi="Arial" w:cs="Arial"/>
                <w:i/>
                <w:iCs/>
              </w:rPr>
              <w:t>einräumen, zugeben, zugestehen, das Zugeständnis machen, …</w:t>
            </w:r>
          </w:p>
        </w:tc>
      </w:tr>
      <w:tr w:rsidR="0092462D" w:rsidRPr="0092462D" w:rsidTr="00A27BF4">
        <w:tc>
          <w:tcPr>
            <w:tcW w:w="3777" w:type="dxa"/>
          </w:tcPr>
          <w:p w:rsidR="0092462D" w:rsidRPr="0092462D" w:rsidRDefault="0092462D" w:rsidP="00A27BF4">
            <w:pPr>
              <w:spacing w:line="360" w:lineRule="auto"/>
              <w:rPr>
                <w:rFonts w:ascii="Arial" w:hAnsi="Arial" w:cs="Arial"/>
              </w:rPr>
            </w:pPr>
            <w:r w:rsidRPr="0092462D">
              <w:rPr>
                <w:rFonts w:ascii="Arial" w:hAnsi="Arial" w:cs="Arial"/>
              </w:rPr>
              <w:t xml:space="preserve">mit </w:t>
            </w:r>
            <w:proofErr w:type="spellStart"/>
            <w:r w:rsidRPr="0092462D">
              <w:rPr>
                <w:rFonts w:ascii="Arial" w:hAnsi="Arial" w:cs="Arial"/>
                <w:b/>
                <w:bCs/>
              </w:rPr>
              <w:t>appellativem</w:t>
            </w:r>
            <w:proofErr w:type="spellEnd"/>
            <w:r w:rsidRPr="0092462D">
              <w:rPr>
                <w:rFonts w:ascii="Arial" w:hAnsi="Arial" w:cs="Arial"/>
                <w:b/>
                <w:bCs/>
              </w:rPr>
              <w:t xml:space="preserve"> Charakter</w:t>
            </w:r>
          </w:p>
        </w:tc>
        <w:tc>
          <w:tcPr>
            <w:tcW w:w="5285" w:type="dxa"/>
          </w:tcPr>
          <w:p w:rsidR="0092462D" w:rsidRPr="0092462D" w:rsidRDefault="0092462D" w:rsidP="00A27BF4">
            <w:pPr>
              <w:spacing w:line="360" w:lineRule="auto"/>
              <w:rPr>
                <w:rFonts w:ascii="Arial" w:hAnsi="Arial" w:cs="Arial"/>
                <w:i/>
                <w:iCs/>
              </w:rPr>
            </w:pPr>
            <w:r w:rsidRPr="0092462D">
              <w:rPr>
                <w:rFonts w:ascii="Arial" w:hAnsi="Arial" w:cs="Arial"/>
                <w:i/>
                <w:iCs/>
              </w:rPr>
              <w:t>appellieren, fordern, die Forderung erheben, verlangen, …</w:t>
            </w:r>
          </w:p>
        </w:tc>
      </w:tr>
      <w:tr w:rsidR="0092462D" w:rsidRPr="0092462D" w:rsidTr="00A27BF4">
        <w:tc>
          <w:tcPr>
            <w:tcW w:w="3777" w:type="dxa"/>
          </w:tcPr>
          <w:p w:rsidR="0092462D" w:rsidRPr="0092462D" w:rsidRDefault="0092462D" w:rsidP="00A27BF4">
            <w:pPr>
              <w:spacing w:line="360" w:lineRule="auto"/>
              <w:rPr>
                <w:rFonts w:ascii="Arial" w:hAnsi="Arial" w:cs="Arial"/>
              </w:rPr>
            </w:pPr>
            <w:r w:rsidRPr="0092462D">
              <w:rPr>
                <w:rFonts w:ascii="Arial" w:hAnsi="Arial" w:cs="Arial"/>
              </w:rPr>
              <w:t xml:space="preserve">mit </w:t>
            </w:r>
            <w:r w:rsidRPr="0092462D">
              <w:rPr>
                <w:rFonts w:ascii="Arial" w:hAnsi="Arial" w:cs="Arial"/>
                <w:b/>
                <w:bCs/>
              </w:rPr>
              <w:t>schlussfolgerndem Charakter</w:t>
            </w:r>
          </w:p>
        </w:tc>
        <w:tc>
          <w:tcPr>
            <w:tcW w:w="5285" w:type="dxa"/>
          </w:tcPr>
          <w:p w:rsidR="0092462D" w:rsidRPr="0092462D" w:rsidRDefault="0092462D" w:rsidP="00A27BF4">
            <w:pPr>
              <w:spacing w:line="360" w:lineRule="auto"/>
              <w:rPr>
                <w:rFonts w:ascii="Arial" w:hAnsi="Arial" w:cs="Arial"/>
                <w:i/>
                <w:iCs/>
              </w:rPr>
            </w:pPr>
            <w:r w:rsidRPr="0092462D">
              <w:rPr>
                <w:rFonts w:ascii="Arial" w:hAnsi="Arial" w:cs="Arial"/>
                <w:i/>
                <w:iCs/>
              </w:rPr>
              <w:t>(</w:t>
            </w:r>
            <w:proofErr w:type="spellStart"/>
            <w:r w:rsidRPr="0092462D">
              <w:rPr>
                <w:rFonts w:ascii="Arial" w:hAnsi="Arial" w:cs="Arial"/>
                <w:i/>
                <w:iCs/>
              </w:rPr>
              <w:t>schluss</w:t>
            </w:r>
            <w:proofErr w:type="spellEnd"/>
            <w:r w:rsidRPr="0092462D">
              <w:rPr>
                <w:rFonts w:ascii="Arial" w:hAnsi="Arial" w:cs="Arial"/>
                <w:i/>
                <w:iCs/>
              </w:rPr>
              <w:t>)folgern, die Schlussfolgerung/den Schluss ziehen, resümieren, ein Fazit ziehen, zu dem Ergebnis kommen, …</w:t>
            </w:r>
          </w:p>
        </w:tc>
      </w:tr>
    </w:tbl>
    <w:p w:rsidR="0092462D" w:rsidRDefault="0092462D" w:rsidP="0092462D">
      <w:pPr>
        <w:jc w:val="both"/>
        <w:rPr>
          <w:rFonts w:asciiTheme="minorHAnsi" w:hAnsiTheme="minorHAnsi" w:cstheme="minorHAnsi"/>
        </w:rPr>
      </w:pPr>
    </w:p>
    <w:p w:rsidR="0092462D" w:rsidRDefault="0092462D" w:rsidP="0092462D">
      <w:pPr>
        <w:jc w:val="both"/>
        <w:rPr>
          <w:rFonts w:asciiTheme="minorHAnsi" w:hAnsiTheme="minorHAnsi" w:cstheme="minorHAnsi"/>
        </w:rPr>
      </w:pPr>
    </w:p>
    <w:p w:rsidR="0092462D" w:rsidRDefault="0092462D" w:rsidP="0092462D">
      <w:pPr>
        <w:jc w:val="both"/>
        <w:rPr>
          <w:rFonts w:asciiTheme="minorHAnsi" w:hAnsiTheme="minorHAnsi" w:cstheme="minorHAnsi"/>
        </w:rPr>
      </w:pPr>
      <w:r>
        <w:rPr>
          <w:rFonts w:asciiTheme="minorHAnsi" w:hAnsiTheme="minorHAnsi" w:cstheme="minorHAnsi"/>
          <w:noProof/>
        </w:rPr>
        <w:drawing>
          <wp:inline distT="0" distB="0" distL="0" distR="0" wp14:anchorId="4876295D" wp14:editId="781DBA4F">
            <wp:extent cx="5759450" cy="5721350"/>
            <wp:effectExtent l="0" t="0" r="0" b="0"/>
            <wp:docPr id="5" name="Grafik 2" descr="Ein Bild, das Karte, Text, Atl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33359" name="Grafik 2" descr="Ein Bild, das Karte, Text, Atlas, Diagramm enthält.&#10;&#10;Automatisch generierte Beschreibung"/>
                    <pic:cNvPicPr>
                      <a:picLocks noChangeAspect="1"/>
                    </pic:cNvPicPr>
                  </pic:nvPicPr>
                  <pic:blipFill>
                    <a:blip r:embed="rId21"/>
                    <a:stretch/>
                  </pic:blipFill>
                  <pic:spPr bwMode="auto">
                    <a:xfrm>
                      <a:off x="0" y="0"/>
                      <a:ext cx="5759450" cy="5721350"/>
                    </a:xfrm>
                    <a:prstGeom prst="rect">
                      <a:avLst/>
                    </a:prstGeom>
                    <a:noFill/>
                    <a:ln>
                      <a:noFill/>
                    </a:ln>
                  </pic:spPr>
                </pic:pic>
              </a:graphicData>
            </a:graphic>
          </wp:inline>
        </w:drawing>
      </w:r>
    </w:p>
    <w:p w:rsidR="0092462D" w:rsidRDefault="0092462D" w:rsidP="0092462D">
      <w:pPr>
        <w:jc w:val="both"/>
        <w:rPr>
          <w:rFonts w:asciiTheme="minorHAnsi" w:hAnsiTheme="minorHAnsi" w:cstheme="minorHAnsi"/>
        </w:rPr>
      </w:pPr>
      <w:hyperlink r:id="rId22" w:tooltip="https://www.dialekte.schule.bayern.de/sprachatlas/" w:history="1">
        <w:r>
          <w:rPr>
            <w:rStyle w:val="Hyperlink"/>
            <w:rFonts w:asciiTheme="minorHAnsi" w:hAnsiTheme="minorHAnsi" w:cstheme="minorHAnsi"/>
          </w:rPr>
          <w:t>https://www.dialekte.schule.bayern.de/sprachatlas/</w:t>
        </w:r>
      </w:hyperlink>
    </w:p>
    <w:p w:rsidR="0092462D" w:rsidRDefault="0092462D" w:rsidP="0092462D">
      <w:pPr>
        <w:jc w:val="both"/>
        <w:rPr>
          <w:rFonts w:asciiTheme="minorHAnsi" w:hAnsiTheme="minorHAnsi" w:cstheme="minorHAnsi"/>
        </w:rPr>
      </w:pPr>
    </w:p>
    <w:p w:rsidR="0092462D" w:rsidRDefault="0092462D" w:rsidP="0092462D">
      <w:pPr>
        <w:jc w:val="both"/>
        <w:rPr>
          <w:rFonts w:asciiTheme="minorHAnsi" w:hAnsiTheme="minorHAnsi" w:cstheme="minorHAnsi"/>
        </w:rPr>
      </w:pPr>
    </w:p>
    <w:p w:rsidR="0092462D" w:rsidRDefault="0092462D" w:rsidP="0092462D">
      <w:pPr>
        <w:jc w:val="both"/>
        <w:rPr>
          <w:rFonts w:asciiTheme="minorHAnsi" w:hAnsiTheme="minorHAnsi" w:cstheme="minorHAnsi"/>
        </w:rPr>
      </w:pPr>
    </w:p>
    <w:p w:rsidR="0092462D" w:rsidRDefault="0092462D" w:rsidP="0092462D">
      <w:pPr>
        <w:jc w:val="both"/>
        <w:rPr>
          <w:rFonts w:asciiTheme="minorHAnsi" w:hAnsiTheme="minorHAnsi" w:cstheme="minorHAnsi"/>
        </w:rPr>
      </w:pPr>
    </w:p>
    <w:p w:rsidR="0092462D" w:rsidRDefault="0092462D" w:rsidP="0092462D">
      <w:pPr>
        <w:jc w:val="both"/>
        <w:rPr>
          <w:rFonts w:asciiTheme="minorHAnsi" w:hAnsiTheme="minorHAnsi" w:cstheme="minorHAnsi"/>
        </w:rPr>
      </w:pPr>
    </w:p>
    <w:p w:rsidR="0092462D" w:rsidRDefault="0092462D" w:rsidP="0092462D">
      <w:pPr>
        <w:jc w:val="both"/>
        <w:rPr>
          <w:rFonts w:asciiTheme="minorHAnsi" w:hAnsiTheme="minorHAnsi" w:cstheme="minorHAnsi"/>
        </w:rPr>
      </w:pPr>
    </w:p>
    <w:p w:rsidR="0092462D" w:rsidRDefault="0092462D" w:rsidP="0092462D">
      <w:pPr>
        <w:jc w:val="both"/>
        <w:rPr>
          <w:rFonts w:asciiTheme="minorHAnsi" w:hAnsiTheme="minorHAnsi" w:cstheme="minorHAnsi"/>
        </w:rPr>
      </w:pPr>
    </w:p>
    <w:p w:rsidR="0092462D" w:rsidRDefault="0092462D" w:rsidP="0092462D">
      <w:pPr>
        <w:jc w:val="both"/>
        <w:rPr>
          <w:rFonts w:asciiTheme="minorHAnsi" w:hAnsiTheme="minorHAnsi" w:cstheme="minorHAnsi"/>
        </w:rPr>
      </w:pPr>
      <w:bookmarkStart w:id="0" w:name="_GoBack"/>
      <w:bookmarkEnd w:id="0"/>
    </w:p>
    <w:p w:rsidR="0092462D" w:rsidRDefault="0092462D" w:rsidP="0092462D">
      <w:pPr>
        <w:jc w:val="both"/>
        <w:rPr>
          <w:rFonts w:asciiTheme="minorHAnsi" w:hAnsiTheme="minorHAnsi" w:cstheme="minorHAnsi"/>
        </w:rPr>
      </w:pPr>
    </w:p>
    <w:p w:rsidR="0092462D" w:rsidRPr="0092462D" w:rsidRDefault="0092462D" w:rsidP="0092462D">
      <w:pPr>
        <w:jc w:val="center"/>
        <w:rPr>
          <w:rFonts w:ascii="Arial" w:hAnsi="Arial" w:cs="Arial"/>
          <w:b/>
          <w:bCs/>
          <w:color w:val="FF0000"/>
          <w:sz w:val="32"/>
          <w:szCs w:val="32"/>
        </w:rPr>
      </w:pPr>
      <w:r w:rsidRPr="0092462D">
        <w:rPr>
          <w:rFonts w:ascii="Arial" w:hAnsi="Arial" w:cs="Arial"/>
          <w:b/>
          <w:bCs/>
          <w:color w:val="FF0000"/>
          <w:sz w:val="32"/>
          <w:szCs w:val="32"/>
        </w:rPr>
        <w:t>Lösungshinweise</w:t>
      </w:r>
    </w:p>
    <w:p w:rsidR="0092462D" w:rsidRPr="0092462D" w:rsidRDefault="0092462D" w:rsidP="0092462D">
      <w:pPr>
        <w:jc w:val="both"/>
        <w:rPr>
          <w:rFonts w:ascii="Arial" w:hAnsi="Arial" w:cs="Arial"/>
          <w:u w:val="single"/>
        </w:rPr>
      </w:pPr>
    </w:p>
    <w:p w:rsidR="0092462D" w:rsidRPr="0092462D" w:rsidRDefault="0092462D" w:rsidP="0092462D">
      <w:pPr>
        <w:jc w:val="both"/>
        <w:rPr>
          <w:rFonts w:ascii="Arial" w:hAnsi="Arial" w:cs="Arial"/>
          <w:u w:val="single"/>
        </w:rPr>
      </w:pPr>
      <w:r w:rsidRPr="0092462D">
        <w:rPr>
          <w:rFonts w:ascii="Arial" w:hAnsi="Arial" w:cs="Arial"/>
          <w:u w:val="single"/>
        </w:rPr>
        <w:t>Aufgabe 3:</w:t>
      </w:r>
    </w:p>
    <w:p w:rsidR="0092462D" w:rsidRPr="0092462D" w:rsidRDefault="0092462D" w:rsidP="0092462D">
      <w:pPr>
        <w:jc w:val="both"/>
        <w:rPr>
          <w:rFonts w:ascii="Arial" w:hAnsi="Arial" w:cs="Arial"/>
        </w:rPr>
      </w:pPr>
    </w:p>
    <w:p w:rsidR="0092462D" w:rsidRPr="0092462D" w:rsidRDefault="0092462D" w:rsidP="0092462D">
      <w:pPr>
        <w:jc w:val="both"/>
        <w:rPr>
          <w:rFonts w:ascii="Arial" w:hAnsi="Arial" w:cs="Arial"/>
        </w:rPr>
      </w:pPr>
      <w:proofErr w:type="spellStart"/>
      <w:r w:rsidRPr="0092462D">
        <w:rPr>
          <w:rFonts w:ascii="Arial" w:hAnsi="Arial" w:cs="Arial"/>
          <w:b/>
          <w:bCs/>
        </w:rPr>
        <w:t>Mädlein</w:t>
      </w:r>
      <w:proofErr w:type="spellEnd"/>
      <w:r w:rsidRPr="0092462D">
        <w:rPr>
          <w:rFonts w:ascii="Arial" w:hAnsi="Arial" w:cs="Arial"/>
          <w:b/>
          <w:bCs/>
        </w:rPr>
        <w:t>/</w:t>
      </w:r>
      <w:proofErr w:type="spellStart"/>
      <w:r w:rsidRPr="0092462D">
        <w:rPr>
          <w:rFonts w:ascii="Arial" w:hAnsi="Arial" w:cs="Arial"/>
          <w:b/>
          <w:bCs/>
        </w:rPr>
        <w:t>Maidlein</w:t>
      </w:r>
      <w:proofErr w:type="spellEnd"/>
      <w:r w:rsidRPr="0092462D">
        <w:rPr>
          <w:rFonts w:ascii="Arial" w:hAnsi="Arial" w:cs="Arial"/>
        </w:rPr>
        <w:t xml:space="preserve"> – mhd. </w:t>
      </w:r>
      <w:proofErr w:type="spellStart"/>
      <w:r w:rsidRPr="0092462D">
        <w:rPr>
          <w:rFonts w:ascii="Arial" w:hAnsi="Arial" w:cs="Arial"/>
          <w:i/>
          <w:iCs/>
        </w:rPr>
        <w:t>maget</w:t>
      </w:r>
      <w:proofErr w:type="spellEnd"/>
      <w:r w:rsidRPr="0092462D">
        <w:rPr>
          <w:rFonts w:ascii="Arial" w:hAnsi="Arial" w:cs="Arial"/>
        </w:rPr>
        <w:t xml:space="preserve">, </w:t>
      </w:r>
      <w:proofErr w:type="spellStart"/>
      <w:r w:rsidRPr="0092462D">
        <w:rPr>
          <w:rFonts w:ascii="Arial" w:hAnsi="Arial" w:cs="Arial"/>
          <w:i/>
          <w:iCs/>
        </w:rPr>
        <w:t>magad</w:t>
      </w:r>
      <w:proofErr w:type="spellEnd"/>
      <w:r w:rsidRPr="0092462D">
        <w:rPr>
          <w:rFonts w:ascii="Arial" w:hAnsi="Arial" w:cs="Arial"/>
        </w:rPr>
        <w:t xml:space="preserve"> in der Bedeutung von ‚Mädchen‘; das Wort bildet auch die Basis für </w:t>
      </w:r>
      <w:r w:rsidRPr="0092462D">
        <w:rPr>
          <w:rFonts w:ascii="Arial" w:hAnsi="Arial" w:cs="Arial"/>
          <w:i/>
          <w:iCs/>
        </w:rPr>
        <w:t>Magd</w:t>
      </w:r>
    </w:p>
    <w:p w:rsidR="0092462D" w:rsidRPr="0092462D" w:rsidRDefault="0092462D" w:rsidP="0092462D">
      <w:pPr>
        <w:jc w:val="both"/>
        <w:rPr>
          <w:rFonts w:ascii="Arial" w:hAnsi="Arial" w:cs="Arial"/>
        </w:rPr>
      </w:pPr>
      <w:proofErr w:type="spellStart"/>
      <w:r w:rsidRPr="0092462D">
        <w:rPr>
          <w:rFonts w:ascii="Arial" w:hAnsi="Arial" w:cs="Arial"/>
          <w:b/>
          <w:bCs/>
        </w:rPr>
        <w:t>Feel</w:t>
      </w:r>
      <w:proofErr w:type="spellEnd"/>
      <w:r w:rsidRPr="0092462D">
        <w:rPr>
          <w:rFonts w:ascii="Arial" w:hAnsi="Arial" w:cs="Arial"/>
          <w:b/>
          <w:bCs/>
        </w:rPr>
        <w:t>/Fehl</w:t>
      </w:r>
      <w:r w:rsidRPr="0092462D">
        <w:rPr>
          <w:rFonts w:ascii="Arial" w:hAnsi="Arial" w:cs="Arial"/>
        </w:rPr>
        <w:t xml:space="preserve"> – </w:t>
      </w:r>
      <w:proofErr w:type="spellStart"/>
      <w:r w:rsidRPr="0092462D">
        <w:rPr>
          <w:rFonts w:ascii="Arial" w:hAnsi="Arial" w:cs="Arial"/>
        </w:rPr>
        <w:t>allgäuerisch</w:t>
      </w:r>
      <w:proofErr w:type="spellEnd"/>
      <w:r w:rsidRPr="0092462D">
        <w:rPr>
          <w:rFonts w:ascii="Arial" w:hAnsi="Arial" w:cs="Arial"/>
        </w:rPr>
        <w:t xml:space="preserve">/alemannisches Wort, in dem lat. </w:t>
      </w:r>
      <w:proofErr w:type="spellStart"/>
      <w:r w:rsidRPr="0092462D">
        <w:rPr>
          <w:rFonts w:ascii="Arial" w:hAnsi="Arial" w:cs="Arial"/>
          <w:i/>
          <w:iCs/>
        </w:rPr>
        <w:t>filia</w:t>
      </w:r>
      <w:proofErr w:type="spellEnd"/>
      <w:r w:rsidRPr="0092462D">
        <w:rPr>
          <w:rFonts w:ascii="Arial" w:hAnsi="Arial" w:cs="Arial"/>
        </w:rPr>
        <w:t xml:space="preserve"> weiterlebt</w:t>
      </w:r>
    </w:p>
    <w:p w:rsidR="0092462D" w:rsidRPr="0092462D" w:rsidRDefault="0092462D" w:rsidP="0092462D">
      <w:pPr>
        <w:jc w:val="both"/>
        <w:rPr>
          <w:rFonts w:ascii="Arial" w:hAnsi="Arial" w:cs="Arial"/>
        </w:rPr>
      </w:pPr>
      <w:proofErr w:type="spellStart"/>
      <w:r w:rsidRPr="0092462D">
        <w:rPr>
          <w:rFonts w:ascii="Arial" w:hAnsi="Arial" w:cs="Arial"/>
          <w:b/>
          <w:bCs/>
        </w:rPr>
        <w:t>Sputtl</w:t>
      </w:r>
      <w:proofErr w:type="spellEnd"/>
      <w:r w:rsidRPr="0092462D">
        <w:rPr>
          <w:rFonts w:ascii="Arial" w:hAnsi="Arial" w:cs="Arial"/>
        </w:rPr>
        <w:t xml:space="preserve"> – eher selten gebraucht, Herkunft des Wortes (Etymologie) nicht ganz klar, evtl. eine Entwicklung aus </w:t>
      </w:r>
      <w:proofErr w:type="spellStart"/>
      <w:r w:rsidRPr="0092462D">
        <w:rPr>
          <w:rFonts w:ascii="Arial" w:hAnsi="Arial" w:cs="Arial"/>
          <w:i/>
          <w:iCs/>
        </w:rPr>
        <w:t>Spuchtel</w:t>
      </w:r>
      <w:proofErr w:type="spellEnd"/>
      <w:r w:rsidRPr="0092462D">
        <w:rPr>
          <w:rFonts w:ascii="Arial" w:hAnsi="Arial" w:cs="Arial"/>
        </w:rPr>
        <w:t xml:space="preserve"> mit der Bedeutung ‚unfruchtbare Frau‘</w:t>
      </w:r>
    </w:p>
    <w:p w:rsidR="0092462D" w:rsidRPr="0092462D" w:rsidRDefault="0092462D" w:rsidP="0092462D">
      <w:pPr>
        <w:jc w:val="both"/>
        <w:rPr>
          <w:rFonts w:ascii="Arial" w:hAnsi="Arial" w:cs="Arial"/>
        </w:rPr>
      </w:pPr>
      <w:proofErr w:type="spellStart"/>
      <w:r w:rsidRPr="0092462D">
        <w:rPr>
          <w:rFonts w:ascii="Arial" w:hAnsi="Arial" w:cs="Arial"/>
          <w:b/>
          <w:bCs/>
        </w:rPr>
        <w:t>Dirnlein</w:t>
      </w:r>
      <w:proofErr w:type="spellEnd"/>
      <w:r w:rsidRPr="0092462D">
        <w:rPr>
          <w:rFonts w:ascii="Arial" w:hAnsi="Arial" w:cs="Arial"/>
        </w:rPr>
        <w:t xml:space="preserve"> – östlich einer Linie Ingolstadt-München-Bad Tölz wird </w:t>
      </w:r>
      <w:proofErr w:type="spellStart"/>
      <w:r w:rsidRPr="0092462D">
        <w:rPr>
          <w:rFonts w:ascii="Arial" w:hAnsi="Arial" w:cs="Arial"/>
          <w:i/>
          <w:iCs/>
        </w:rPr>
        <w:t>Dirnlein</w:t>
      </w:r>
      <w:proofErr w:type="spellEnd"/>
      <w:r w:rsidRPr="0092462D">
        <w:rPr>
          <w:rFonts w:ascii="Arial" w:hAnsi="Arial" w:cs="Arial"/>
        </w:rPr>
        <w:t xml:space="preserve"> in verschiedenen Lautungen wie </w:t>
      </w:r>
      <w:r w:rsidRPr="0092462D">
        <w:rPr>
          <w:rFonts w:ascii="Arial" w:hAnsi="Arial" w:cs="Arial"/>
          <w:i/>
          <w:iCs/>
        </w:rPr>
        <w:t>Dirndl</w:t>
      </w:r>
      <w:r w:rsidRPr="0092462D">
        <w:rPr>
          <w:rFonts w:ascii="Arial" w:hAnsi="Arial" w:cs="Arial"/>
        </w:rPr>
        <w:t xml:space="preserve">, </w:t>
      </w:r>
      <w:proofErr w:type="spellStart"/>
      <w:r w:rsidRPr="0092462D">
        <w:rPr>
          <w:rFonts w:ascii="Arial" w:hAnsi="Arial" w:cs="Arial"/>
          <w:i/>
          <w:iCs/>
        </w:rPr>
        <w:t>Dearndl</w:t>
      </w:r>
      <w:proofErr w:type="spellEnd"/>
      <w:r w:rsidRPr="0092462D">
        <w:rPr>
          <w:rFonts w:ascii="Arial" w:hAnsi="Arial" w:cs="Arial"/>
        </w:rPr>
        <w:t xml:space="preserve">, </w:t>
      </w:r>
      <w:proofErr w:type="spellStart"/>
      <w:r w:rsidRPr="0092462D">
        <w:rPr>
          <w:rFonts w:ascii="Arial" w:hAnsi="Arial" w:cs="Arial"/>
          <w:i/>
          <w:iCs/>
        </w:rPr>
        <w:t>Deandl</w:t>
      </w:r>
      <w:proofErr w:type="spellEnd"/>
      <w:r w:rsidRPr="0092462D">
        <w:rPr>
          <w:rFonts w:ascii="Arial" w:hAnsi="Arial" w:cs="Arial"/>
        </w:rPr>
        <w:t xml:space="preserve"> etc. für die Bezeichnung eines Mädchens gebraucht, Ursprung: althochdeutsch </w:t>
      </w:r>
      <w:proofErr w:type="spellStart"/>
      <w:r w:rsidRPr="0092462D">
        <w:rPr>
          <w:rFonts w:ascii="Arial" w:hAnsi="Arial" w:cs="Arial"/>
          <w:i/>
          <w:iCs/>
        </w:rPr>
        <w:t>diorna</w:t>
      </w:r>
      <w:proofErr w:type="spellEnd"/>
      <w:r w:rsidRPr="0092462D">
        <w:rPr>
          <w:rFonts w:ascii="Arial" w:hAnsi="Arial" w:cs="Arial"/>
        </w:rPr>
        <w:t xml:space="preserve"> ‚Mädchen‘, aus dem sich auch die abwertende Bezeichnung </w:t>
      </w:r>
      <w:r w:rsidRPr="0092462D">
        <w:rPr>
          <w:rFonts w:ascii="Arial" w:hAnsi="Arial" w:cs="Arial"/>
          <w:i/>
          <w:iCs/>
        </w:rPr>
        <w:t>Dirne</w:t>
      </w:r>
      <w:r w:rsidRPr="0092462D">
        <w:rPr>
          <w:rFonts w:ascii="Arial" w:hAnsi="Arial" w:cs="Arial"/>
        </w:rPr>
        <w:t xml:space="preserve"> entwickelte </w:t>
      </w:r>
    </w:p>
    <w:p w:rsidR="0092462D" w:rsidRPr="0092462D" w:rsidRDefault="0092462D" w:rsidP="0092462D">
      <w:pPr>
        <w:jc w:val="both"/>
        <w:rPr>
          <w:rFonts w:ascii="Arial" w:hAnsi="Arial" w:cs="Arial"/>
        </w:rPr>
      </w:pPr>
      <w:r w:rsidRPr="0092462D">
        <w:rPr>
          <w:rFonts w:ascii="Arial" w:hAnsi="Arial" w:cs="Arial"/>
          <w:b/>
          <w:bCs/>
        </w:rPr>
        <w:t>(das) Mensch</w:t>
      </w:r>
      <w:r w:rsidRPr="0092462D">
        <w:rPr>
          <w:rFonts w:ascii="Arial" w:hAnsi="Arial" w:cs="Arial"/>
        </w:rPr>
        <w:t xml:space="preserve"> – wird nur im südöstlichen Bayerischen Wald als Bezeichnung für ‚Mädchen‘ verwendet, basiert auf althochdeutsch </w:t>
      </w:r>
      <w:proofErr w:type="spellStart"/>
      <w:r w:rsidRPr="0092462D">
        <w:rPr>
          <w:rFonts w:ascii="Arial" w:hAnsi="Arial" w:cs="Arial"/>
          <w:i/>
          <w:iCs/>
        </w:rPr>
        <w:t>menisco</w:t>
      </w:r>
      <w:proofErr w:type="spellEnd"/>
      <w:r w:rsidRPr="0092462D">
        <w:rPr>
          <w:rFonts w:ascii="Arial" w:hAnsi="Arial" w:cs="Arial"/>
        </w:rPr>
        <w:t xml:space="preserve">, was als Bezeichnung für weibliche Dienstboten Verwendung fand; im </w:t>
      </w:r>
      <w:proofErr w:type="spellStart"/>
      <w:r w:rsidRPr="0092462D">
        <w:rPr>
          <w:rFonts w:ascii="Arial" w:hAnsi="Arial" w:cs="Arial"/>
        </w:rPr>
        <w:t>übrigen</w:t>
      </w:r>
      <w:proofErr w:type="spellEnd"/>
      <w:r w:rsidRPr="0092462D">
        <w:rPr>
          <w:rFonts w:ascii="Arial" w:hAnsi="Arial" w:cs="Arial"/>
        </w:rPr>
        <w:t xml:space="preserve"> bairischen Sprachgebiet auch als verächtliche Bezeichnung für eine weibliche Person in Gebrauch </w:t>
      </w:r>
    </w:p>
    <w:p w:rsidR="0092462D" w:rsidRPr="0092462D" w:rsidRDefault="0092462D" w:rsidP="0092462D">
      <w:pPr>
        <w:rPr>
          <w:rFonts w:ascii="Arial" w:hAnsi="Arial" w:cs="Arial"/>
        </w:rPr>
      </w:pPr>
    </w:p>
    <w:p w:rsidR="0092462D" w:rsidRPr="0092462D" w:rsidRDefault="0092462D" w:rsidP="0092462D"/>
    <w:sectPr w:rsidR="0092462D" w:rsidRPr="0092462D" w:rsidSect="0092462D">
      <w:headerReference w:type="even" r:id="rId23"/>
      <w:headerReference w:type="default" r:id="rId24"/>
      <w:footerReference w:type="even" r:id="rId25"/>
      <w:footerReference w:type="default" r:id="rId26"/>
      <w:headerReference w:type="first" r:id="rId27"/>
      <w:footerReference w:type="first" r:id="rId28"/>
      <w:pgSz w:w="11907" w:h="16840"/>
      <w:pgMar w:top="680" w:right="1247" w:bottom="1134" w:left="1247"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E0A" w:rsidRDefault="009C048B">
      <w:pPr>
        <w:spacing w:after="0" w:line="240" w:lineRule="auto"/>
      </w:pPr>
      <w:r>
        <w:separator/>
      </w:r>
    </w:p>
  </w:endnote>
  <w:endnote w:type="continuationSeparator" w:id="0">
    <w:p w:rsidR="00F40E0A" w:rsidRDefault="009C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E0A" w:rsidRDefault="00F40E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E0A" w:rsidRDefault="00F40E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E0A" w:rsidRDefault="00F40E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E0A" w:rsidRDefault="009C048B">
      <w:pPr>
        <w:spacing w:after="0" w:line="240" w:lineRule="auto"/>
      </w:pPr>
      <w:r>
        <w:separator/>
      </w:r>
    </w:p>
  </w:footnote>
  <w:footnote w:type="continuationSeparator" w:id="0">
    <w:p w:rsidR="00F40E0A" w:rsidRDefault="009C0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E0A" w:rsidRDefault="00F40E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993"/>
      <w:gridCol w:w="142"/>
      <w:gridCol w:w="13891"/>
    </w:tblGrid>
    <w:tr w:rsidR="00F40E0A">
      <w:trPr>
        <w:trHeight w:val="997"/>
      </w:trPr>
      <w:tc>
        <w:tcPr>
          <w:tcW w:w="993" w:type="dxa"/>
          <w:tcBorders>
            <w:bottom w:val="single" w:sz="48" w:space="0" w:color="C0C0C0"/>
            <w:right w:val="single" w:sz="48" w:space="0" w:color="C0C0C0"/>
          </w:tcBorders>
        </w:tcPr>
        <w:p w:rsidR="00F40E0A" w:rsidRDefault="00F40E0A">
          <w:pPr>
            <w:pStyle w:val="Kopfzeile"/>
            <w:tabs>
              <w:tab w:val="clear" w:pos="4536"/>
              <w:tab w:val="clear" w:pos="9072"/>
              <w:tab w:val="center" w:pos="934"/>
            </w:tabs>
            <w:ind w:left="0"/>
            <w:rPr>
              <w:rFonts w:ascii="Arial" w:hAnsi="Arial" w:cs="Arial"/>
            </w:rPr>
          </w:pPr>
        </w:p>
      </w:tc>
      <w:tc>
        <w:tcPr>
          <w:tcW w:w="142" w:type="dxa"/>
          <w:tcBorders>
            <w:left w:val="single" w:sz="48" w:space="0" w:color="C0C0C0"/>
            <w:right w:val="single" w:sz="48" w:space="0" w:color="008000"/>
          </w:tcBorders>
        </w:tcPr>
        <w:p w:rsidR="00F40E0A" w:rsidRDefault="00F40E0A">
          <w:pPr>
            <w:pStyle w:val="Kopfzeile"/>
            <w:rPr>
              <w:rFonts w:ascii="Arial" w:hAnsi="Arial" w:cs="Arial"/>
            </w:rPr>
          </w:pPr>
        </w:p>
      </w:tc>
      <w:tc>
        <w:tcPr>
          <w:tcW w:w="13891" w:type="dxa"/>
          <w:tcBorders>
            <w:left w:val="single" w:sz="48" w:space="0" w:color="008000"/>
            <w:bottom w:val="single" w:sz="48" w:space="0" w:color="008000"/>
          </w:tcBorders>
        </w:tcPr>
        <w:p w:rsidR="00F40E0A" w:rsidRDefault="00F40E0A" w:rsidP="0092462D">
          <w:pPr>
            <w:pStyle w:val="Kopfzeile"/>
            <w:spacing w:before="0"/>
            <w:ind w:left="0"/>
            <w:rPr>
              <w:rFonts w:ascii="Arial" w:hAnsi="Arial" w:cs="Arial"/>
              <w:sz w:val="26"/>
              <w:szCs w:val="26"/>
            </w:rPr>
          </w:pPr>
        </w:p>
        <w:p w:rsidR="00F40E0A" w:rsidRDefault="009C048B">
          <w:pPr>
            <w:pStyle w:val="Kopfzeile"/>
            <w:spacing w:before="0" w:line="276" w:lineRule="auto"/>
            <w:rPr>
              <w:rFonts w:ascii="Arial" w:hAnsi="Arial" w:cs="Arial"/>
              <w:sz w:val="26"/>
              <w:szCs w:val="26"/>
            </w:rPr>
          </w:pPr>
          <w:r>
            <w:rPr>
              <w:rFonts w:ascii="Arial" w:hAnsi="Arial" w:cs="Arial"/>
              <w:sz w:val="26"/>
              <w:szCs w:val="26"/>
            </w:rPr>
            <w:t xml:space="preserve">Dialekt und regionale Kultur </w:t>
          </w:r>
          <w:r>
            <w:rPr>
              <w:rFonts w:ascii="Arial" w:hAnsi="Arial" w:cs="Arial"/>
              <w:sz w:val="26"/>
              <w:szCs w:val="26"/>
            </w:rPr>
            <w:t>– Aufgaben</w:t>
          </w:r>
        </w:p>
        <w:p w:rsidR="00F40E0A" w:rsidRDefault="009C048B">
          <w:pPr>
            <w:pStyle w:val="Kopfzeile"/>
            <w:spacing w:before="0"/>
            <w:rPr>
              <w:rFonts w:ascii="Arial" w:hAnsi="Arial" w:cs="Arial"/>
              <w:i/>
              <w:sz w:val="26"/>
              <w:szCs w:val="26"/>
            </w:rPr>
          </w:pPr>
          <w:r>
            <w:rPr>
              <w:rFonts w:ascii="Arial" w:hAnsi="Arial" w:cs="Arial"/>
              <w:i/>
              <w:sz w:val="26"/>
              <w:szCs w:val="26"/>
            </w:rPr>
            <w:t xml:space="preserve">www.dialekte.schule.bayern.de </w:t>
          </w:r>
        </w:p>
      </w:tc>
    </w:tr>
  </w:tbl>
  <w:p w:rsidR="00F40E0A" w:rsidRDefault="009C048B">
    <w:pPr>
      <w:pStyle w:val="Kopfzeileunten"/>
      <w:ind w:left="0"/>
      <w:rPr>
        <w:rFonts w:ascii="Arial" w:hAnsi="Arial" w:cs="Arial"/>
      </w:rPr>
    </w:pPr>
    <w:r>
      <w:rPr>
        <w:noProof/>
      </w:rPr>
      <mc:AlternateContent>
        <mc:Choice Requires="wpg">
          <w:drawing>
            <wp:anchor distT="0" distB="0" distL="114300" distR="114300" simplePos="0" relativeHeight="251658240" behindDoc="1" locked="0" layoutInCell="1" allowOverlap="1">
              <wp:simplePos x="0" y="0"/>
              <wp:positionH relativeFrom="column">
                <wp:posOffset>-538480</wp:posOffset>
              </wp:positionH>
              <wp:positionV relativeFrom="paragraph">
                <wp:posOffset>-691515</wp:posOffset>
              </wp:positionV>
              <wp:extent cx="648000" cy="626400"/>
              <wp:effectExtent l="0" t="0" r="0" b="2540"/>
              <wp:wrapTight wrapText="bothSides">
                <wp:wrapPolygon edited="1">
                  <wp:start x="0" y="0"/>
                  <wp:lineTo x="0" y="21030"/>
                  <wp:lineTo x="20965" y="21030"/>
                  <wp:lineTo x="20965"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r="63932"/>
                      <a:stretch/>
                    </pic:blipFill>
                    <pic:spPr bwMode="auto">
                      <a:xfrm>
                        <a:off x="0" y="0"/>
                        <a:ext cx="648000" cy="6264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2.40pt;mso-position-horizontal:absolute;mso-position-vertical-relative:text;margin-top:-54.45pt;mso-position-vertical:absolute;width:51.02pt;height:49.32pt;mso-wrap-distance-left:9.00pt;mso-wrap-distance-top:0.00pt;mso-wrap-distance-right:9.00pt;mso-wrap-distance-bottom:0.00pt;z-index:1;" wrapcoords="0 0 0 97361 97060 97361 97060 0 0 0" stroked="f">
              <w10:wrap type="tight"/>
              <v:imagedata r:id="rId2" o:title=""/>
              <o:lock v:ext="edit" rota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E0A" w:rsidRDefault="00F40E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780"/>
    <w:multiLevelType w:val="multilevel"/>
    <w:tmpl w:val="0156A878"/>
    <w:lvl w:ilvl="0">
      <w:start w:val="1"/>
      <w:numFmt w:val="decimal"/>
      <w:suff w:val="space"/>
      <w:lvlText w:val="%1."/>
      <w:lvlJc w:val="left"/>
      <w:pPr>
        <w:tabs>
          <w:tab w:val="num" w:pos="720"/>
        </w:tabs>
        <w:ind w:left="720" w:hanging="360"/>
      </w:pPr>
      <w:rPr>
        <w:rFonts w:hint="default"/>
        <w:sz w:val="20"/>
      </w:rPr>
    </w:lvl>
    <w:lvl w:ilvl="1">
      <w:start w:val="1"/>
      <w:numFmt w:val="decimal"/>
      <w:suff w:val="space"/>
      <w:lvlText w:val="%2.)"/>
      <w:lvlJc w:val="left"/>
      <w:pPr>
        <w:ind w:left="1440" w:hanging="360"/>
      </w:pPr>
      <w:rPr>
        <w:rFonts w:hint="default"/>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1" w15:restartNumberingAfterBreak="0">
    <w:nsid w:val="0CD16F0B"/>
    <w:multiLevelType w:val="multilevel"/>
    <w:tmpl w:val="A230AE3C"/>
    <w:lvl w:ilvl="0">
      <w:start w:val="1"/>
      <w:numFmt w:val="decimal"/>
      <w:suff w:val="space"/>
      <w:lvlText w:val="%1."/>
      <w:lvlJc w:val="left"/>
      <w:pPr>
        <w:ind w:left="360" w:hanging="360"/>
      </w:p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2" w15:restartNumberingAfterBreak="0">
    <w:nsid w:val="13BA7447"/>
    <w:multiLevelType w:val="multilevel"/>
    <w:tmpl w:val="231C6E7C"/>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3" w15:restartNumberingAfterBreak="0">
    <w:nsid w:val="140004C8"/>
    <w:multiLevelType w:val="multilevel"/>
    <w:tmpl w:val="13004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A2598"/>
    <w:multiLevelType w:val="multilevel"/>
    <w:tmpl w:val="FA0AF2B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1A753373"/>
    <w:multiLevelType w:val="multilevel"/>
    <w:tmpl w:val="25F8F21C"/>
    <w:lvl w:ilvl="0">
      <w:start w:val="1"/>
      <w:numFmt w:val="bullet"/>
      <w:suff w:val="space"/>
      <w:lvlText w:val="-"/>
      <w:lvlJc w:val="left"/>
      <w:pPr>
        <w:ind w:left="720" w:hanging="360"/>
      </w:pPr>
      <w:rPr>
        <w:rFonts w:ascii="Arial" w:eastAsia="Calibri"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6" w15:restartNumberingAfterBreak="0">
    <w:nsid w:val="1EE56FFB"/>
    <w:multiLevelType w:val="hybridMultilevel"/>
    <w:tmpl w:val="96780E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9E0ED4"/>
    <w:multiLevelType w:val="multilevel"/>
    <w:tmpl w:val="FD1CD562"/>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8" w15:restartNumberingAfterBreak="0">
    <w:nsid w:val="42A90728"/>
    <w:multiLevelType w:val="multilevel"/>
    <w:tmpl w:val="7A5A633E"/>
    <w:lvl w:ilvl="0">
      <w:start w:val="1"/>
      <w:numFmt w:val="bullet"/>
      <w:suff w:val="space"/>
      <w:lvlText w:val="-"/>
      <w:lvlJc w:val="left"/>
      <w:pPr>
        <w:ind w:left="720" w:hanging="360"/>
      </w:pPr>
      <w:rPr>
        <w:rFonts w:ascii="Arial" w:eastAsia="Calibri"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46F32A35"/>
    <w:multiLevelType w:val="multilevel"/>
    <w:tmpl w:val="CE5ADDFE"/>
    <w:lvl w:ilvl="0">
      <w:start w:val="1"/>
      <w:numFmt w:val="bullet"/>
      <w:suff w:val="space"/>
      <w:lvlText w:val="-"/>
      <w:lvlJc w:val="left"/>
      <w:pPr>
        <w:ind w:left="720" w:hanging="360"/>
      </w:pPr>
      <w:rPr>
        <w:rFonts w:ascii="Arial" w:eastAsia="Calibri"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4F773F1C"/>
    <w:multiLevelType w:val="multilevel"/>
    <w:tmpl w:val="92E4D37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1" w15:restartNumberingAfterBreak="0">
    <w:nsid w:val="542314E1"/>
    <w:multiLevelType w:val="multilevel"/>
    <w:tmpl w:val="4D285A7A"/>
    <w:lvl w:ilvl="0">
      <w:start w:val="1"/>
      <w:numFmt w:val="bullet"/>
      <w:suff w:val="space"/>
      <w:lvlText w:val="-"/>
      <w:lvlJc w:val="left"/>
      <w:pPr>
        <w:ind w:left="720" w:hanging="360"/>
      </w:pPr>
      <w:rPr>
        <w:rFonts w:ascii="Arial" w:eastAsia="Calibri"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55D05E4E"/>
    <w:multiLevelType w:val="multilevel"/>
    <w:tmpl w:val="67ACA7DA"/>
    <w:lvl w:ilvl="0">
      <w:start w:val="1"/>
      <w:numFmt w:val="decimal"/>
      <w:suff w:val="space"/>
      <w:lvlText w:val="%1."/>
      <w:lvlJc w:val="left"/>
      <w:pPr>
        <w:tabs>
          <w:tab w:val="num" w:pos="360"/>
        </w:tabs>
        <w:ind w:left="360" w:hanging="360"/>
      </w:pPr>
      <w:rPr>
        <w:rFonts w:hint="default"/>
        <w:sz w:val="20"/>
      </w:rPr>
    </w:lvl>
    <w:lvl w:ilvl="1">
      <w:start w:val="1"/>
      <w:numFmt w:val="decimal"/>
      <w:suff w:val="space"/>
      <w:lvlText w:val="%2.)"/>
      <w:lvlJc w:val="left"/>
      <w:pPr>
        <w:ind w:left="1080" w:hanging="360"/>
      </w:pPr>
      <w:rPr>
        <w:rFonts w:hint="default"/>
      </w:rPr>
    </w:lvl>
    <w:lvl w:ilvl="2">
      <w:start w:val="1"/>
      <w:numFmt w:val="bullet"/>
      <w:suff w:val="space"/>
      <w:lvlText w:val=""/>
      <w:lvlJc w:val="left"/>
      <w:pPr>
        <w:tabs>
          <w:tab w:val="num" w:pos="1800"/>
        </w:tabs>
        <w:ind w:left="1800" w:hanging="360"/>
      </w:pPr>
      <w:rPr>
        <w:rFonts w:ascii="Wingdings" w:hAnsi="Wingdings" w:hint="default"/>
        <w:sz w:val="20"/>
      </w:rPr>
    </w:lvl>
    <w:lvl w:ilvl="3">
      <w:start w:val="1"/>
      <w:numFmt w:val="bullet"/>
      <w:suff w:val="space"/>
      <w:lvlText w:val=""/>
      <w:lvlJc w:val="left"/>
      <w:pPr>
        <w:tabs>
          <w:tab w:val="num" w:pos="2520"/>
        </w:tabs>
        <w:ind w:left="2520" w:hanging="360"/>
      </w:pPr>
      <w:rPr>
        <w:rFonts w:ascii="Wingdings" w:hAnsi="Wingdings" w:hint="default"/>
        <w:sz w:val="20"/>
      </w:rPr>
    </w:lvl>
    <w:lvl w:ilvl="4">
      <w:start w:val="1"/>
      <w:numFmt w:val="bullet"/>
      <w:suff w:val="space"/>
      <w:lvlText w:val=""/>
      <w:lvlJc w:val="left"/>
      <w:pPr>
        <w:tabs>
          <w:tab w:val="num" w:pos="3240"/>
        </w:tabs>
        <w:ind w:left="3240" w:hanging="360"/>
      </w:pPr>
      <w:rPr>
        <w:rFonts w:ascii="Wingdings" w:hAnsi="Wingdings" w:hint="default"/>
        <w:sz w:val="20"/>
      </w:rPr>
    </w:lvl>
    <w:lvl w:ilvl="5">
      <w:start w:val="1"/>
      <w:numFmt w:val="bullet"/>
      <w:suff w:val="space"/>
      <w:lvlText w:val=""/>
      <w:lvlJc w:val="left"/>
      <w:pPr>
        <w:tabs>
          <w:tab w:val="num" w:pos="3960"/>
        </w:tabs>
        <w:ind w:left="3960" w:hanging="360"/>
      </w:pPr>
      <w:rPr>
        <w:rFonts w:ascii="Wingdings" w:hAnsi="Wingdings" w:hint="default"/>
        <w:sz w:val="20"/>
      </w:rPr>
    </w:lvl>
    <w:lvl w:ilvl="6">
      <w:start w:val="1"/>
      <w:numFmt w:val="bullet"/>
      <w:suff w:val="space"/>
      <w:lvlText w:val=""/>
      <w:lvlJc w:val="left"/>
      <w:pPr>
        <w:tabs>
          <w:tab w:val="num" w:pos="4680"/>
        </w:tabs>
        <w:ind w:left="4680" w:hanging="360"/>
      </w:pPr>
      <w:rPr>
        <w:rFonts w:ascii="Wingdings" w:hAnsi="Wingdings" w:hint="default"/>
        <w:sz w:val="20"/>
      </w:rPr>
    </w:lvl>
    <w:lvl w:ilvl="7">
      <w:start w:val="1"/>
      <w:numFmt w:val="bullet"/>
      <w:suff w:val="space"/>
      <w:lvlText w:val=""/>
      <w:lvlJc w:val="left"/>
      <w:pPr>
        <w:tabs>
          <w:tab w:val="num" w:pos="5400"/>
        </w:tabs>
        <w:ind w:left="5400" w:hanging="360"/>
      </w:pPr>
      <w:rPr>
        <w:rFonts w:ascii="Wingdings" w:hAnsi="Wingdings" w:hint="default"/>
        <w:sz w:val="20"/>
      </w:rPr>
    </w:lvl>
    <w:lvl w:ilvl="8">
      <w:start w:val="1"/>
      <w:numFmt w:val="bullet"/>
      <w:suff w:val="space"/>
      <w:lvlText w:val=""/>
      <w:lvlJc w:val="left"/>
      <w:pPr>
        <w:tabs>
          <w:tab w:val="num" w:pos="6120"/>
        </w:tabs>
        <w:ind w:left="6120" w:hanging="360"/>
      </w:pPr>
      <w:rPr>
        <w:rFonts w:ascii="Wingdings" w:hAnsi="Wingdings" w:hint="default"/>
        <w:sz w:val="20"/>
      </w:rPr>
    </w:lvl>
  </w:abstractNum>
  <w:abstractNum w:abstractNumId="13" w15:restartNumberingAfterBreak="0">
    <w:nsid w:val="58741C32"/>
    <w:multiLevelType w:val="multilevel"/>
    <w:tmpl w:val="C2D62418"/>
    <w:lvl w:ilvl="0">
      <w:start w:val="2"/>
      <w:numFmt w:val="bullet"/>
      <w:suff w:val="space"/>
      <w:lvlText w:val="-"/>
      <w:lvlJc w:val="left"/>
      <w:pPr>
        <w:ind w:left="720" w:hanging="360"/>
      </w:pPr>
      <w:rPr>
        <w:rFonts w:ascii="Arial" w:eastAsia="Times New Roman"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4" w15:restartNumberingAfterBreak="0">
    <w:nsid w:val="76821B94"/>
    <w:multiLevelType w:val="multilevel"/>
    <w:tmpl w:val="6AE69C42"/>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15:restartNumberingAfterBreak="0">
    <w:nsid w:val="7E817574"/>
    <w:multiLevelType w:val="multilevel"/>
    <w:tmpl w:val="76925AC2"/>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16" w15:restartNumberingAfterBreak="0">
    <w:nsid w:val="7F12397D"/>
    <w:multiLevelType w:val="multilevel"/>
    <w:tmpl w:val="4092AF7C"/>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num w:numId="1">
    <w:abstractNumId w:val="9"/>
  </w:num>
  <w:num w:numId="2">
    <w:abstractNumId w:val="7"/>
  </w:num>
  <w:num w:numId="3">
    <w:abstractNumId w:val="0"/>
  </w:num>
  <w:num w:numId="4">
    <w:abstractNumId w:val="15"/>
  </w:num>
  <w:num w:numId="5">
    <w:abstractNumId w:val="5"/>
  </w:num>
  <w:num w:numId="6">
    <w:abstractNumId w:val="14"/>
  </w:num>
  <w:num w:numId="7">
    <w:abstractNumId w:val="12"/>
  </w:num>
  <w:num w:numId="8">
    <w:abstractNumId w:val="10"/>
  </w:num>
  <w:num w:numId="9">
    <w:abstractNumId w:val="1"/>
  </w:num>
  <w:num w:numId="10">
    <w:abstractNumId w:val="16"/>
  </w:num>
  <w:num w:numId="11">
    <w:abstractNumId w:val="11"/>
  </w:num>
  <w:num w:numId="12">
    <w:abstractNumId w:val="2"/>
  </w:num>
  <w:num w:numId="13">
    <w:abstractNumId w:val="13"/>
  </w:num>
  <w:num w:numId="14">
    <w:abstractNumId w:val="4"/>
  </w:num>
  <w:num w:numId="15">
    <w:abstractNumId w:val="8"/>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0A"/>
    <w:rsid w:val="0092462D"/>
    <w:rsid w:val="009C048B"/>
    <w:rsid w:val="00F4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C94FB"/>
  <w15:docId w15:val="{10C51152-122D-4652-B249-0B9BA450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pPr>
      <w:keepNext/>
      <w:keepLines/>
      <w:pBdr>
        <w:top w:val="single" w:sz="4" w:space="1" w:color="000000"/>
        <w:left w:val="single" w:sz="4" w:space="4" w:color="000000"/>
        <w:bottom w:val="single" w:sz="4" w:space="1" w:color="000000"/>
        <w:right w:val="single" w:sz="4" w:space="4" w:color="000000"/>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000000"/>
        <w:left w:val="single" w:sz="4" w:space="4" w:color="000000"/>
        <w:bottom w:val="single" w:sz="4" w:space="1" w:color="000000"/>
        <w:right w:val="single" w:sz="4" w:space="4" w:color="000000"/>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924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7" Type="http://schemas.openxmlformats.org/officeDocument/2006/relationships/hyperlink" Target="https://www.dialekte.schule.bayern.de/sprachatla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opus.bibliothek.uni-augsburg.de/opus4/frontdoor/deliver/index/docId/46523/file/4652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header" Target="header1.xml"/><Relationship Id="rId28" Type="http://schemas.openxmlformats.org/officeDocument/2006/relationships/footer" Target="footer3.xml"/><Relationship Id="rId19" Type="http://schemas.openxmlformats.org/officeDocument/2006/relationships/image" Target="media/image4.svg"/><Relationship Id="rId4" Type="http://schemas.openxmlformats.org/officeDocument/2006/relationships/settings" Target="settings.xml"/><Relationship Id="rId22" Type="http://schemas.openxmlformats.org/officeDocument/2006/relationships/hyperlink" Target="https://www.dialekte.schule.bayern.de/sprachatla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65E1D-BC3D-451C-AD82-4135199F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1530</Words>
  <Characters>9640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Neugebauer, Christina</cp:lastModifiedBy>
  <cp:revision>2</cp:revision>
  <dcterms:created xsi:type="dcterms:W3CDTF">2025-01-27T09:14:00Z</dcterms:created>
  <dcterms:modified xsi:type="dcterms:W3CDTF">2025-01-27T09:14:00Z</dcterms:modified>
</cp:coreProperties>
</file>